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/>
        <w:jc w:val="center"/>
        <w:textAlignment w:val="auto"/>
        <w:rPr>
          <w:rFonts w:hint="eastAsia" w:ascii="仿宋" w:hAnsi="仿宋" w:eastAsia="仿宋"/>
          <w:b/>
          <w:bCs/>
          <w:spacing w:val="85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 w:ascii="方正小标宋简体" w:eastAsia="方正小标宋简体"/>
          <w:b/>
          <w:bCs/>
          <w:color w:val="FF0000"/>
          <w:spacing w:val="85"/>
          <w:sz w:val="84"/>
          <w:szCs w:val="84"/>
        </w:rPr>
        <w:t>南岔县人民法院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147320</wp:posOffset>
                </wp:positionV>
                <wp:extent cx="5667375" cy="9525"/>
                <wp:effectExtent l="15875" t="15875" r="317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4pt;margin-top:11.6pt;height:0.75pt;width:446.25pt;z-index:251659264;mso-width-relative:page;mso-height-relative:page;" filled="f" stroked="t" coordsize="21600,21600" o:gfxdata="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owz9BtcAAAAJAQAADwAAAAAAAAABACAAAAA4AAAAZHJzL2Rvd25yZXYueG1sUEsBAhQAFAAA&#10;AAgAh07iQFVgYv/aAQAAjQMAAA4AAAAAAAAAAQAgAAAAPAEAAGRycy9lMm9Eb2MueG1sUEsFBgAA&#10;AAAGAAYAWQEAAIgFAAAAAA=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“三链融合”司法服务保障机制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关于优化法治化营商环境、服务保障高质量发展的要求，有效化解社会矛盾，重塑市场主体信用，提升司法服务效能，结合本院在解纷流程优化、信用体系构建、前端服务供给等方面的创新实践，特制定本工作规程。</w:t>
      </w:r>
    </w:p>
    <w:p>
      <w:pPr>
        <w:spacing w:line="56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坚持司法主导、多方协同、科技赋能原则，以“三链融合”为核心，构建“预防-化解-修复-服务”一体化工作格局，实现矛盾纠纷源头治理、信用环境持续优化、司法服务精准高效。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实现纠纷化解周期缩短、市场主体信用修复便捷、企业法律风险防范能力提升、区域法治化营商环境显著改善。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</w:rPr>
        <w:t>“解纷链”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信息采集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依托诉讼服务中心、党员先锋服务站、“法治红松卫士”团队等渠道，广泛收集涉企、涉林等纠纷苗头信息。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风险评估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运用大数据分析，结合《企业法治生存指南》中风险点，对采集信息进行初步风险评估，划分预警等级。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主动干预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对中高风险预警对象，由“法治红松卫士”或调解员主动对接，提供法律咨询、风险提示、引导调解。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场景分流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根据纠纷类型、当事人意愿，精准分流至“松子调解室”（侧重家事、邻里）、“黑木耳调解站”（侧重涉林、涉企）等特色场景或行业性专业性调解组织。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云端调解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大力推广运用“5G调解舱”，实现远程、异步、高效调解，原则上简易纠纷48小时内完成云端调解流程。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调解过程中或达成协议后，智能系统同步生成并推送履行方案建议或关联的“智能供应链优化方案”。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执前督促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调解协议或生效裁判文书进入执行前，系统自动发送履行提示，嵌入“信用年轮图”影响说明。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智慧查控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运用执行指挥中心信息化平台，高效查控被执行人财产。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柔性执行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对符合条件且有履行意愿但暂时困难的被执行人，探索适用“口头委托认定”、“重新鉴定裁量”等柔性方式，促成执行和解，衔接“信用链”修复程序。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第三章  </w:t>
      </w:r>
      <w:r>
        <w:rPr>
          <w:rFonts w:hint="eastAsia" w:ascii="黑体" w:hAnsi="黑体" w:eastAsia="黑体" w:cs="黑体"/>
          <w:sz w:val="32"/>
          <w:szCs w:val="32"/>
        </w:rPr>
        <w:t>信用修复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初步警示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对首次出现轻微失信行为或存在失信风险的市场主体，发送《信用风险初步警示函》，指明问题，提示后果，引导主动纠正或履行。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司法康复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对收到警示函后及时纠正、履行完毕或达成有效和解/执行和解，且符合条件的主体：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可依申请或依职权启动信用修复程序。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经审查确认，颁发《司法康复证书》，在“信用年轮图”中标注修复节点，屏蔽或删除相关公示信息。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年轮修复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对获得《司法康复证书》的主体，纳入“年轮修复计划”，设定一定观察期。观察期内：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 提供常态化法律咨询和合规指引。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 对其涉诉涉执情况进行重点监测。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 观察期满无新增严重失信行为，在“信用年轮图”中予以显著正向标记，视为信用稳定修复。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【解释权】 本规程由南岔法院审判委员会负责解释。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【施行日期】 本规程自发布之日起施行。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南岔县人民法院</w:t>
      </w:r>
    </w:p>
    <w:p>
      <w:pPr>
        <w:spacing w:line="560" w:lineRule="exact"/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tabs>
          <w:tab w:val="left" w:pos="1071"/>
        </w:tabs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0122"/>
    <w:rsid w:val="09012091"/>
    <w:rsid w:val="1BEA7BAC"/>
    <w:rsid w:val="1FBA04D1"/>
    <w:rsid w:val="261830B4"/>
    <w:rsid w:val="2C4A4B2A"/>
    <w:rsid w:val="39192815"/>
    <w:rsid w:val="3CCB2319"/>
    <w:rsid w:val="3CCB5752"/>
    <w:rsid w:val="475951FA"/>
    <w:rsid w:val="4D686100"/>
    <w:rsid w:val="4FB014E1"/>
    <w:rsid w:val="50AF6E33"/>
    <w:rsid w:val="56931A33"/>
    <w:rsid w:val="5802683A"/>
    <w:rsid w:val="5C2E2250"/>
    <w:rsid w:val="6145501E"/>
    <w:rsid w:val="77256ABB"/>
    <w:rsid w:val="796800D7"/>
    <w:rsid w:val="ABB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1177</Characters>
  <Lines>0</Lines>
  <Paragraphs>0</Paragraphs>
  <TotalTime>0</TotalTime>
  <ScaleCrop>false</ScaleCrop>
  <LinksUpToDate>false</LinksUpToDate>
  <CharactersWithSpaces>1225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2023-10-08T14:08:00Z</dcterms:created>
  <dc:creator>Administrator</dc:creator>
  <cp:lastModifiedBy>thtf</cp:lastModifiedBy>
  <cp:lastPrinted>2025-01-13T10:56:00Z</cp:lastPrinted>
  <dcterms:modified xsi:type="dcterms:W3CDTF">2025-07-29T10:22:32Z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DF2C7D585CBA469D824129F4FDB95987_13</vt:lpwstr>
  </property>
  <property fmtid="{D5CDD505-2E9C-101B-9397-08002B2CF9AE}" pid="4" name="KSOTemplateDocerSaveRecord">
    <vt:lpwstr>eyJoZGlkIjoiNWRiZGZjNDA1ZTFjNTZmODFmZGFkOGI0Y2ExNTQwOGIiLCJ1c2VySWQiOiIzMDIwMTU0NDkifQ==</vt:lpwstr>
  </property>
</Properties>
</file>