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jc w:val="both"/>
        <w:rPr>
          <w:rFonts w:ascii="宋体"/>
          <w:sz w:val="32"/>
          <w:szCs w:val="32"/>
        </w:rPr>
      </w:pPr>
      <w:bookmarkStart w:id="0" w:name="_GoBack"/>
      <w:bookmarkEnd w:id="0"/>
    </w:p>
    <w:p>
      <w:pPr>
        <w:adjustRightInd/>
        <w:snapToGrid/>
        <w:spacing w:line="560" w:lineRule="exact"/>
        <w:jc w:val="both"/>
        <w:rPr>
          <w:rFonts w:ascii="宋体"/>
          <w:sz w:val="32"/>
          <w:szCs w:val="32"/>
        </w:rPr>
      </w:pPr>
    </w:p>
    <w:p>
      <w:pPr>
        <w:adjustRightInd/>
        <w:snapToGrid/>
        <w:spacing w:line="560" w:lineRule="exact"/>
        <w:jc w:val="both"/>
        <w:rPr>
          <w:rFonts w:ascii="宋体"/>
          <w:sz w:val="32"/>
          <w:szCs w:val="32"/>
        </w:rPr>
      </w:pPr>
    </w:p>
    <w:p>
      <w:pPr>
        <w:adjustRightInd/>
        <w:snapToGrid/>
        <w:spacing w:line="560" w:lineRule="exact"/>
        <w:jc w:val="both"/>
        <w:rPr>
          <w:rFonts w:ascii="宋体"/>
          <w:sz w:val="32"/>
          <w:szCs w:val="32"/>
        </w:rPr>
      </w:pPr>
    </w:p>
    <w:p>
      <w:pPr>
        <w:adjustRightInd/>
        <w:snapToGrid/>
        <w:jc w:val="center"/>
        <w:rPr>
          <w:rFonts w:ascii="方正小标宋简体" w:eastAsia="方正小标宋简体"/>
          <w:color w:val="FF0000"/>
          <w:sz w:val="96"/>
          <w:szCs w:val="36"/>
        </w:rPr>
      </w:pPr>
      <w:r>
        <w:rPr>
          <w:rFonts w:hint="eastAsia" w:ascii="方正小标宋简体" w:eastAsia="方正小标宋简体"/>
          <w:color w:val="FF0000"/>
          <w:sz w:val="96"/>
          <w:szCs w:val="36"/>
        </w:rPr>
        <w:t>南岔县人民法院</w:t>
      </w:r>
    </w:p>
    <w:p>
      <w:pPr>
        <w:adjustRightInd/>
        <w:snapToGrid/>
        <w:spacing w:line="500" w:lineRule="exact"/>
        <w:jc w:val="center"/>
        <w:rPr>
          <w:rFonts w:ascii="方正小标宋简体" w:eastAsia="方正小标宋简体"/>
          <w:color w:val="FF0000"/>
          <w:sz w:val="96"/>
          <w:szCs w:val="36"/>
        </w:rPr>
      </w:pPr>
    </w:p>
    <w:p>
      <w:pPr>
        <w:adjustRightInd/>
        <w:snapToGrid/>
        <w:spacing w:line="400" w:lineRule="exact"/>
        <w:jc w:val="center"/>
        <w:rPr>
          <w:rFonts w:ascii="仿宋" w:hAnsi="仿宋" w:eastAsia="仿宋"/>
          <w:sz w:val="32"/>
          <w:szCs w:val="32"/>
        </w:rPr>
      </w:pPr>
      <w:r>
        <w:rPr>
          <w:rFonts w:ascii="黑体" w:eastAsia="黑体"/>
          <w:sz w:val="10"/>
          <w:szCs w:val="1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410210</wp:posOffset>
                </wp:positionV>
                <wp:extent cx="60579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57900" cy="0"/>
                        </a:xfrm>
                        <a:prstGeom prst="line">
                          <a:avLst/>
                        </a:prstGeom>
                        <a:ln w="158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5pt;margin-top:32.3pt;height:0pt;width:477pt;z-index:251659264;mso-width-relative:page;mso-height-relative:page;" filled="f" stroked="t" coordsize="21600,21600" o:gfxdata="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s6FC0NYAAAAIAQAADwAAAAAAAAABACAAAAA4AAAAZHJzL2Rvd25yZXYueG1s&#10;UEsBAhQAFAAAAAgAh07iQPkO3VzkAQAAqAMAAA4AAAAAAAAAAQAgAAAAOwEAAGRycy9lMm9Eb2Mu&#10;eG1sUEsFBgAAAAAGAAYAWQEAAJEFAAAAAA==&#10;">
                <v:fill on="f" focussize="0,0"/>
                <v:stroke weight="1.25pt" color="#FF0000" joinstyle="round"/>
                <v:imagedata o:title=""/>
                <o:lock v:ext="edit" aspectratio="f"/>
              </v:line>
            </w:pict>
          </mc:Fallback>
        </mc:AlternateContent>
      </w:r>
      <w:r>
        <w:rPr>
          <w:rFonts w:hint="eastAsia" w:ascii="仿宋" w:hAnsi="仿宋" w:eastAsia="仿宋"/>
          <w:sz w:val="32"/>
          <w:szCs w:val="32"/>
        </w:rPr>
        <w:t xml:space="preserve">南法发﹝2025﹞11号 </w:t>
      </w:r>
    </w:p>
    <w:p>
      <w:pPr>
        <w:adjustRightInd/>
        <w:snapToGrid/>
        <w:spacing w:line="400" w:lineRule="exact"/>
        <w:jc w:val="center"/>
        <w:rPr>
          <w:rFonts w:ascii="仿宋" w:hAnsi="仿宋" w:eastAsia="仿宋"/>
          <w:sz w:val="32"/>
          <w:szCs w:val="32"/>
        </w:rPr>
      </w:pPr>
      <w:r>
        <w:rPr>
          <w:rFonts w:hint="eastAsia" w:ascii="仿宋" w:hAnsi="仿宋" w:eastAsia="仿宋"/>
          <w:sz w:val="32"/>
          <w:szCs w:val="32"/>
        </w:rPr>
        <w:t xml:space="preserve">                 </w:t>
      </w:r>
    </w:p>
    <w:p>
      <w:pPr>
        <w:adjustRightInd/>
        <w:snapToGrid/>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关于印发《关于落实涉企案件经济影响评估制度的实施办法》的通知</w:t>
      </w:r>
    </w:p>
    <w:p>
      <w:pPr>
        <w:pStyle w:val="2"/>
        <w:widowControl/>
        <w:spacing w:after="0" w:line="400" w:lineRule="exact"/>
        <w:jc w:val="center"/>
        <w:rPr>
          <w:rFonts w:ascii="方正小标宋简体" w:hAnsi="方正小标宋简体" w:eastAsia="方正小标宋简体" w:cs="方正小标宋简体"/>
          <w:sz w:val="44"/>
          <w:szCs w:val="44"/>
        </w:rPr>
      </w:pPr>
    </w:p>
    <w:p>
      <w:pPr>
        <w:pStyle w:val="2"/>
        <w:widowControl/>
        <w:spacing w:after="0" w:line="500" w:lineRule="exact"/>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本院各部门：</w:t>
      </w:r>
    </w:p>
    <w:p>
      <w:pPr>
        <w:pStyle w:val="2"/>
        <w:widowControl/>
        <w:spacing w:after="0" w:line="500" w:lineRule="exact"/>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 xml:space="preserve">    为充分发挥法院司法职能作用，助推营商环境持续优化，现将《关于落实涉企案件经济影响评估制度的实施办法》印发给你们，请遵照执行，执行中若遇到相关问题，请及时反馈县法院审判管理办公室。</w:t>
      </w:r>
    </w:p>
    <w:p>
      <w:pPr>
        <w:pStyle w:val="2"/>
        <w:widowControl/>
        <w:spacing w:after="0" w:line="500" w:lineRule="exact"/>
        <w:rPr>
          <w:rFonts w:ascii="仿宋_GB2312" w:hAnsi="方正仿宋_GB2312" w:eastAsia="仿宋_GB2312" w:cs="方正仿宋_GB2312"/>
          <w:sz w:val="32"/>
          <w:szCs w:val="32"/>
        </w:rPr>
      </w:pPr>
    </w:p>
    <w:p>
      <w:pPr>
        <w:pStyle w:val="2"/>
        <w:widowControl/>
        <w:spacing w:after="0" w:line="500" w:lineRule="exact"/>
        <w:jc w:val="right"/>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南岔县人民法院</w:t>
      </w:r>
    </w:p>
    <w:p>
      <w:pPr>
        <w:pStyle w:val="2"/>
        <w:widowControl/>
        <w:spacing w:after="0" w:line="500" w:lineRule="exact"/>
        <w:jc w:val="right"/>
        <w:rPr>
          <w:rFonts w:ascii="方正小标宋简体" w:hAnsi="方正小标宋简体" w:eastAsia="方正小标宋简体" w:cs="方正小标宋简体"/>
          <w:sz w:val="44"/>
          <w:szCs w:val="44"/>
        </w:rPr>
      </w:pPr>
      <w:r>
        <w:rPr>
          <w:rFonts w:hint="eastAsia" w:ascii="仿宋_GB2312" w:hAnsi="方正仿宋_GB2312" w:eastAsia="仿宋_GB2312" w:cs="方正仿宋_GB2312"/>
          <w:sz w:val="32"/>
          <w:szCs w:val="32"/>
        </w:rPr>
        <w:t>2025年</w:t>
      </w:r>
      <w:r>
        <w:rPr>
          <w:rFonts w:hint="eastAsia" w:ascii="仿宋_GB2312" w:hAnsi="方正仿宋_GB2312" w:eastAsia="仿宋_GB2312" w:cs="方正仿宋_GB2312"/>
          <w:sz w:val="32"/>
          <w:szCs w:val="32"/>
          <w:lang w:val="en-US" w:eastAsia="zh-CN"/>
        </w:rPr>
        <w:t>9</w:t>
      </w:r>
      <w:r>
        <w:rPr>
          <w:rFonts w:hint="eastAsia" w:ascii="仿宋_GB2312" w:hAnsi="方正仿宋_GB2312" w:eastAsia="仿宋_GB2312" w:cs="方正仿宋_GB2312"/>
          <w:sz w:val="32"/>
          <w:szCs w:val="32"/>
        </w:rPr>
        <w:t>月2</w:t>
      </w:r>
      <w:r>
        <w:rPr>
          <w:rFonts w:hint="eastAsia" w:ascii="仿宋_GB2312" w:hAnsi="方正仿宋_GB2312" w:eastAsia="仿宋_GB2312" w:cs="方正仿宋_GB2312"/>
          <w:sz w:val="32"/>
          <w:szCs w:val="32"/>
          <w:lang w:val="en-US" w:eastAsia="zh-CN"/>
        </w:rPr>
        <w:t>6</w:t>
      </w:r>
      <w:r>
        <w:rPr>
          <w:rFonts w:hint="eastAsia" w:ascii="仿宋_GB2312" w:hAnsi="方正仿宋_GB2312" w:eastAsia="仿宋_GB2312" w:cs="方正仿宋_GB2312"/>
          <w:sz w:val="32"/>
          <w:szCs w:val="32"/>
        </w:rPr>
        <w:t>日</w:t>
      </w:r>
      <w:r>
        <w:rPr>
          <w:rFonts w:ascii="方正小标宋简体" w:hAnsi="方正小标宋简体" w:eastAsia="方正小标宋简体" w:cs="方正小标宋简体"/>
          <w:sz w:val="44"/>
          <w:szCs w:val="44"/>
        </w:rPr>
        <w:br w:type="page"/>
      </w:r>
    </w:p>
    <w:p>
      <w:pPr>
        <w:pStyle w:val="2"/>
        <w:widowControl/>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关于落实涉企案件经济影响评估制度的</w:t>
      </w:r>
    </w:p>
    <w:p>
      <w:pPr>
        <w:pStyle w:val="2"/>
        <w:widowControl/>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实施办法（试行）</w:t>
      </w:r>
    </w:p>
    <w:p>
      <w:pPr>
        <w:pStyle w:val="2"/>
        <w:widowControl/>
        <w:spacing w:after="0" w:line="560" w:lineRule="exact"/>
        <w:jc w:val="center"/>
        <w:rPr>
          <w:rFonts w:ascii="方正小标宋简体" w:hAnsi="方正小标宋简体" w:eastAsia="方正小标宋简体" w:cs="方正小标宋简体"/>
          <w:sz w:val="44"/>
          <w:szCs w:val="44"/>
        </w:rPr>
      </w:pP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推动涉企案件经济影响评估机制的实质化运作，切实把司法活动对企业生产经营的影响降至最低，进一步降低矛盾纠纷化解成本，以能动司法激发市场主体创造活力，以更坚决的态度、更有力的措施护航县域经济高质量发展，结合我院实际，制定以下实施办法。</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 实施范围</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涉企案件经济影响评估应贯穿于立案、保全、审理、执行、司法公开、审判管理全过程，覆盖刑事审判、民商事审判、执行各部门。</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院庭长、承办法官、辅助人员按照各自职责参与涉企案件经济影响评估工作。</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评估内容</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企案件经济影响评估的主要任务是分析立案、保全、审判、执行、司法公开、审判管理等环节的司法活动对企业的生产经营和投资项目可能造成的不利影响，尤其是对民营企业和重大投资项目的不利影响，尽量采用对企业生产经营影响较小的司法措施，将司法活动对企业经营的不利影响降至最低。</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 评估方式</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对涉企案件，各环节都应分别填写《涉企案件经济影响评估表》附卷。</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对企业为原告的案件，应向企业代理人询问对企业存在的经济影响，对企业为被告的案件，应向原告告知对企业造成经济影响应承担的责任。</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案件涉及辖区内重大项目、亿元以上投资项目等重点企业的，应在《涉企案件经济影响评估表》中进行记载。</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应了解争议焦点和司法公开对企业的不利影响，在《涉企案件经济影响评估表》中进行简要记载。</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 评估结果</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人员应综合案件事实及了解到的企业经营状况、偿债能力及诉讼影响等，对案件进行认真评估。评估结果采取“红、黄、绿”三种方式，在《涉企案件经济影响评估表》标注。标注红色代表司法行为影响大，甚至需要禁止作为，向院长报告后采取措施，同时向当地党委政府及上级法院报告；黄色代表司法行为影响较大，需要谨慎作为，此类案件向分管院领导报告后采取措施；绿色代表司法行为影响轻微，可直接采取措施。</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立案环节</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立案阶段，立案人员在收到涉及企业的材料，首先进行涉企案件标记，然后认真审查，全面了解争议焦点，对可能造成的经济影响初步评估。要根据企业的司法需求和实际情况，有针对性地引导其选择先行调解、和解、速裁、小额诉讼、简易程序、督促程序等更为合适且便捷的解决方式。</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保全环节</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保全阶段应重点评估保全的方式、强度对企业生产经营的不利影响。应采取对被保全企业造成损害最小的财产保全措施，避免保全不当影响企业生产经营。一般按下列要求进行保全：</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应向申请保全人告知法院涉企案件经济影响评估工作的内容和后果，引导申请保全人谨慎申请财产保全，申请保全人坚持申请的，应当依法要求其提供担保并进行释明相关法律的工作。</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被保全企业针对财产保全提供反担保，符合变更条件的，应当变更保全标的；反担保财产充分有效的，应裁定解除保全；被保全企业将资金汇入法院账户担保执行的，可以不采取保全措施。</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案件性质，事实及可预见的裁判结果，协调申请人与被保全企业合理确定被保全财产的范围、种类、数量、金额、期限及保全方式等，尽量采取“活封”“活扣”等对企业生产造成限制或损害最小的财产保全措施。</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严禁超标的查封民营企业财产，对经认定为恶意财产保全的，应驳回其申请，并依据情节给予罚款、拘留。</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审理环节</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审理阶段重点评估审理过程和裁判结果对企业生产经营造成的不利影响，要杜绝就法律讲法律，就程序讲程序，就办案讲办案的思维和做法。一般按下列要求进行审理：</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事审判要坚持法治思维，优先考虑企业生存发展，防止将经济纠纷当作刑事犯罪处理。涉案企业家被拘留、逮捕，可能产生负面经济影响的，应评估是否必须采取限制人身自由的强制措施，可与监察机关、检察机关共同进行评估并依法酌情调整或采取相应防范处置措施。在适用刑罚时依法可以适用非监禁刑的，尽量判处非监禁刑。</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事案件应重点评估审理时长和裁判结果对企业的经济影响，依法保护企业产权，支持企业依法管理，努力解决企业融资成本高的问题，预估裁判结果对企业上市、贷款、投标、合并重组有重大影响的，应呈报分管院长。对于涉众型案件、不可抗力事件造成的对企业生存不良影响的，重点跟进，以平衡利益为取向，兼顾依法、平等。</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涉企案件需鉴定、评估、审计的，承办部门及司法技术部门应跟踪评估工作进度，确保鉴定、评估、审计意见在法定期限内出具。</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执行环节</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执行要贯彻善意文明执行理念，因案施策，重点评估执行行为的方式、强度可能对企业造成的经济影响。一般按下列要求执行：</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应对被执行企业财产进行识别，区分违法所得和合法财产、企业财产和个人财产、涉案人员个人财产和家庭财产。不得将执行标的随意扩大到合法财产、个人财产、家庭成员财产。</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企业为被执行人的民商事案件，有多个可执行财产的，应评估各财产对企业生产经营的影响，尽量优先执行对生产经营影响较小的财产。</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企业为被执行人的民商事案件，在变现被执行企业的不动产和动产时，企业有处置渠道的，允许被执行企业在法院监督下处置财产，尽可能保全财产的市场价值。</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对有发展前景但暂时困难的被执行企业，在条件允许的情况下，可以为企业预留必要的职工工资和原材料购入资金，保留必要往来账户或采取债转股、分期执行、执行和解等方式执行。</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司法公开环节</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司法公开应避免给诚信经营企业带来负面影响。一般按下列要求进行：</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立案、审理部门应询问企业庭审公开、裁判文书公开、审判流程公开对企业是否存在影响。文书上网影响诚信经营企业的上市、贷款、投标、评选先进称号的，以及涉及商业秘密或商业信息的，经企业申请，可以不公开。</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涉企新闻报道应通过审查后由法院对外宣传部门统一发布，涉及知名企业或上市公司的负面审判信息，一般不对外报道。</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审判管理环节</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审判管理部门应严格把关流程审批，对各环节的经济影响评估进行评查。一般按下列要求进行：</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加强涉企案件审判流程管理，严格扣除、延长、中止情形，督促涉企案件承办人在法定期限内结案。</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案件质量评查时应查看涉企案件经济影响评估表是否入副卷，对涉企案件经济影响评估工作落实情况进行检查，定期通报。</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强化立审执衔接</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对企业为原告的案件，承办法官及辅助人员应贯彻登记立案的要求，开通绿色通道，快立、快审、快执，按照职责分工高效完成立案、保全、审理、执行工作。</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通报制度</w:t>
      </w: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重大涉企案件实行通报制度。立案、审判、执行、信访、监察、审管部门遇敏感性、群体性涉企案件的，应报告部门负责人，并根据情况呈报分管院长、院长、上级法院，并向政府有关部门通报。</w:t>
      </w:r>
    </w:p>
    <w:p>
      <w:pPr>
        <w:pStyle w:val="2"/>
        <w:widowControl/>
        <w:numPr>
          <w:ilvl w:val="0"/>
          <w:numId w:val="1"/>
        </w:num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本实施办法自公布之日起试行。</w:t>
      </w:r>
    </w:p>
    <w:p>
      <w:pPr>
        <w:pStyle w:val="2"/>
        <w:widowControl/>
        <w:spacing w:after="0" w:line="560" w:lineRule="exact"/>
        <w:rPr>
          <w:rFonts w:ascii="仿宋_GB2312" w:hAnsi="仿宋_GB2312" w:eastAsia="仿宋_GB2312" w:cs="仿宋_GB2312"/>
          <w:sz w:val="32"/>
          <w:szCs w:val="32"/>
        </w:rPr>
      </w:pPr>
    </w:p>
    <w:p>
      <w:pPr>
        <w:pStyle w:val="2"/>
        <w:widowControl/>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widowControl/>
        <w:spacing w:after="0" w:line="560" w:lineRule="exact"/>
        <w:ind w:firstLine="640" w:firstLineChars="200"/>
        <w:rPr>
          <w:rFonts w:ascii="仿宋_GB2312" w:hAnsi="仿宋_GB2312" w:eastAsia="仿宋_GB2312" w:cs="仿宋_GB2312"/>
          <w:sz w:val="32"/>
          <w:szCs w:val="32"/>
        </w:rPr>
        <w:sectPr>
          <w:pgSz w:w="12240" w:h="15840"/>
          <w:pgMar w:top="1440" w:right="1800" w:bottom="1134" w:left="1800" w:header="720" w:footer="720" w:gutter="0"/>
          <w:cols w:space="720" w:num="1"/>
          <w:docGrid w:linePitch="360" w:charSpace="0"/>
        </w:sectPr>
      </w:pPr>
    </w:p>
    <w:p>
      <w:pPr>
        <w:adjustRightInd/>
        <w:snapToGrid/>
        <w:spacing w:line="220" w:lineRule="atLeast"/>
        <w:rPr>
          <w:rFonts w:ascii="仿宋_GB2312" w:hAnsi="Segoe UI" w:eastAsia="仿宋_GB2312" w:cs="仿宋_GB2312"/>
          <w:color w:val="212529"/>
          <w:sz w:val="31"/>
          <w:szCs w:val="31"/>
          <w:shd w:val="clear" w:color="auto" w:fill="FFFFFF"/>
        </w:rPr>
      </w:pPr>
      <w:r>
        <w:rPr>
          <w:rFonts w:hint="eastAsia" w:ascii="仿宋_GB2312" w:hAnsi="Segoe UI" w:eastAsia="仿宋_GB2312" w:cs="仿宋_GB2312"/>
          <w:color w:val="212529"/>
          <w:sz w:val="31"/>
          <w:szCs w:val="31"/>
          <w:shd w:val="clear" w:color="auto" w:fill="FFFFFF"/>
        </w:rPr>
        <w:t>附件1</w:t>
      </w:r>
    </w:p>
    <w:p>
      <w:pPr>
        <w:pStyle w:val="4"/>
        <w:widowControl/>
        <w:shd w:val="clear" w:color="auto" w:fill="FFFFFF"/>
        <w:spacing w:before="0" w:beforeAutospacing="0" w:after="0" w:afterAutospacing="0" w:line="600" w:lineRule="atLeast"/>
        <w:ind w:firstLine="645"/>
        <w:jc w:val="center"/>
        <w:rPr>
          <w:rFonts w:ascii="方正小标宋简体" w:hAnsi="方正小标宋简体" w:eastAsia="方正小标宋简体" w:cs="方正小标宋简体"/>
          <w:color w:val="212529"/>
          <w:sz w:val="43"/>
          <w:szCs w:val="43"/>
          <w:shd w:val="clear" w:color="auto" w:fill="FFFFFF"/>
        </w:rPr>
      </w:pPr>
      <w:r>
        <w:rPr>
          <w:rFonts w:ascii="方正小标宋简体" w:hAnsi="方正小标宋简体" w:eastAsia="方正小标宋简体" w:cs="方正小标宋简体"/>
          <w:color w:val="212529"/>
          <w:sz w:val="43"/>
          <w:szCs w:val="43"/>
          <w:shd w:val="clear" w:color="auto" w:fill="FFFFFF"/>
        </w:rPr>
        <w:t>涉企案件经济影响评估实施细则</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ascii="仿宋_GB2312" w:hAnsi="Calibri" w:eastAsia="仿宋_GB2312" w:cs="仿宋_GB2312"/>
          <w:b/>
          <w:sz w:val="31"/>
          <w:szCs w:val="31"/>
        </w:rPr>
        <w:t>第一条</w:t>
      </w:r>
      <w:r>
        <w:rPr>
          <w:rFonts w:ascii="仿宋_GB2312" w:hAnsi="Segoe UI" w:eastAsia="仿宋_GB2312" w:cs="仿宋_GB2312"/>
          <w:color w:val="212529"/>
          <w:sz w:val="31"/>
          <w:szCs w:val="31"/>
          <w:shd w:val="clear" w:color="auto" w:fill="FFFFFF"/>
        </w:rPr>
        <w:t> </w:t>
      </w:r>
      <w:r>
        <w:rPr>
          <w:rFonts w:ascii="仿宋_GB2312" w:hAnsi="Calibri" w:eastAsia="仿宋_GB2312" w:cs="仿宋_GB2312"/>
          <w:color w:val="212529"/>
          <w:sz w:val="31"/>
          <w:szCs w:val="31"/>
          <w:shd w:val="clear" w:color="auto" w:fill="FFFFFF"/>
        </w:rPr>
        <w:t>为进一步为企业提供精准服务和优质体验，做实涉企案件经济影响评估制度，根据上级法院相关要求和本院工作实际，制定本实施细则。</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hint="eastAsia" w:ascii="仿宋_GB2312" w:hAnsi="Calibri" w:eastAsia="仿宋_GB2312" w:cs="仿宋_GB2312"/>
          <w:b/>
          <w:sz w:val="31"/>
          <w:szCs w:val="31"/>
        </w:rPr>
        <w:t>第二条</w:t>
      </w:r>
      <w:r>
        <w:rPr>
          <w:rFonts w:ascii="仿宋_GB2312" w:hAnsi="Segoe UI" w:eastAsia="仿宋_GB2312" w:cs="仿宋_GB2312"/>
          <w:color w:val="212529"/>
          <w:sz w:val="31"/>
          <w:szCs w:val="31"/>
          <w:shd w:val="clear" w:color="auto" w:fill="FFFFFF"/>
        </w:rPr>
        <w:t> </w:t>
      </w:r>
      <w:r>
        <w:rPr>
          <w:rFonts w:ascii="仿宋_GB2312" w:hAnsi="Calibri" w:eastAsia="仿宋_GB2312" w:cs="仿宋_GB2312"/>
          <w:color w:val="212529"/>
          <w:sz w:val="31"/>
          <w:szCs w:val="31"/>
          <w:shd w:val="clear" w:color="auto" w:fill="FFFFFF"/>
        </w:rPr>
        <w:t>在立案、审判或执行等阶段，承办法官或工作人员第一次接待企业当事人时，应引导涉案企业填写自评表或提供自评意见，解释填写说明，解答企业提出的问题。企业不填写或不提供的，应做笔录或工作笔录予以说明，不得强制要求企业填写。</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ascii="仿宋_GB2312" w:hAnsi="Calibri" w:eastAsia="仿宋_GB2312" w:cs="仿宋_GB2312"/>
          <w:color w:val="212529"/>
          <w:sz w:val="31"/>
          <w:szCs w:val="31"/>
          <w:shd w:val="clear" w:color="auto" w:fill="FFFFFF"/>
        </w:rPr>
        <w:t>企业自评表从资金周转、人力投入、经营风险、信用评价、其他等五个方面进行自评，受影响程度分为无影响、较小影响、较大影响、严重影响等四个层级。</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hint="eastAsia" w:ascii="仿宋_GB2312" w:hAnsi="Calibri" w:eastAsia="仿宋_GB2312" w:cs="仿宋_GB2312"/>
          <w:b/>
          <w:sz w:val="31"/>
          <w:szCs w:val="31"/>
        </w:rPr>
        <w:t>第三条</w:t>
      </w:r>
      <w:r>
        <w:rPr>
          <w:rFonts w:ascii="仿宋_GB2312" w:hAnsi="Segoe UI" w:eastAsia="仿宋_GB2312" w:cs="仿宋_GB2312"/>
          <w:color w:val="212529"/>
          <w:sz w:val="31"/>
          <w:szCs w:val="31"/>
          <w:shd w:val="clear" w:color="auto" w:fill="FFFFFF"/>
        </w:rPr>
        <w:t> </w:t>
      </w:r>
      <w:r>
        <w:rPr>
          <w:rFonts w:ascii="仿宋_GB2312" w:hAnsi="Calibri" w:eastAsia="仿宋_GB2312" w:cs="仿宋_GB2312"/>
          <w:color w:val="212529"/>
          <w:sz w:val="31"/>
          <w:szCs w:val="31"/>
          <w:shd w:val="clear" w:color="auto" w:fill="FFFFFF"/>
        </w:rPr>
        <w:t>承办法官或执行员应结合企业的自评意见，根据上级法院和本院关于涉</w:t>
      </w:r>
      <w:r>
        <w:rPr>
          <w:rFonts w:ascii="仿宋_GB2312" w:hAnsi="Segoe UI" w:eastAsia="仿宋_GB2312" w:cs="仿宋_GB2312"/>
          <w:color w:val="212529"/>
          <w:sz w:val="31"/>
          <w:szCs w:val="31"/>
          <w:shd w:val="clear" w:color="auto" w:fill="FFFFFF"/>
        </w:rPr>
        <w:t>企</w:t>
      </w:r>
      <w:r>
        <w:rPr>
          <w:rFonts w:ascii="仿宋_GB2312" w:hAnsi="Calibri" w:eastAsia="仿宋_GB2312" w:cs="仿宋_GB2312"/>
          <w:color w:val="212529"/>
          <w:sz w:val="31"/>
          <w:szCs w:val="31"/>
          <w:shd w:val="clear" w:color="auto" w:fill="FFFFFF"/>
        </w:rPr>
        <w:t>案件经济影响评估制度的要求进行实质性评估认定，对受影响程度评定蓝色、黄色、红色三个评级等次，具体标准如下：</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ascii="仿宋_GB2312" w:hAnsi="Calibri" w:eastAsia="仿宋_GB2312" w:cs="仿宋_GB2312"/>
          <w:color w:val="212529"/>
          <w:sz w:val="31"/>
          <w:szCs w:val="31"/>
          <w:shd w:val="clear" w:color="auto" w:fill="FFFFFF"/>
        </w:rPr>
        <w:t>蓝色评级：综合认定对企业有较小影响。</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ascii="仿宋_GB2312" w:hAnsi="Calibri" w:eastAsia="仿宋_GB2312" w:cs="仿宋_GB2312"/>
          <w:color w:val="212529"/>
          <w:sz w:val="31"/>
          <w:szCs w:val="31"/>
          <w:shd w:val="clear" w:color="auto" w:fill="FFFFFF"/>
        </w:rPr>
        <w:t>黄色评级：综合认定对企业有较大影响。</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ascii="仿宋_GB2312" w:hAnsi="Calibri" w:eastAsia="仿宋_GB2312" w:cs="仿宋_GB2312"/>
          <w:color w:val="212529"/>
          <w:sz w:val="31"/>
          <w:szCs w:val="31"/>
          <w:shd w:val="clear" w:color="auto" w:fill="FFFFFF"/>
        </w:rPr>
        <w:t>红色评级：综合认定对企业有严重影响。</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hint="eastAsia" w:ascii="仿宋_GB2312" w:hAnsi="Calibri" w:eastAsia="仿宋_GB2312" w:cs="仿宋_GB2312"/>
          <w:b/>
          <w:sz w:val="31"/>
          <w:szCs w:val="31"/>
        </w:rPr>
        <w:t>第四条</w:t>
      </w:r>
      <w:r>
        <w:rPr>
          <w:rFonts w:ascii="仿宋_GB2312" w:hAnsi="Segoe UI" w:eastAsia="仿宋_GB2312" w:cs="仿宋_GB2312"/>
          <w:color w:val="212529"/>
          <w:sz w:val="31"/>
          <w:szCs w:val="31"/>
          <w:shd w:val="clear" w:color="auto" w:fill="FFFFFF"/>
        </w:rPr>
        <w:t> </w:t>
      </w:r>
      <w:r>
        <w:rPr>
          <w:rFonts w:ascii="仿宋_GB2312" w:hAnsi="Calibri" w:eastAsia="仿宋_GB2312" w:cs="仿宋_GB2312"/>
          <w:color w:val="212529"/>
          <w:sz w:val="31"/>
          <w:szCs w:val="31"/>
          <w:shd w:val="clear" w:color="auto" w:fill="FFFFFF"/>
        </w:rPr>
        <w:t>蓝色评级案件的认定，由部门负责人认定并进行案件处理过程监管。黄色评级案件的认定，由分管院领导认定并进行案件处理过程监管。红色评级案件的认定，由院长认定并进行案件过程监管。</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hint="eastAsia" w:ascii="仿宋_GB2312" w:hAnsi="Calibri" w:eastAsia="仿宋_GB2312" w:cs="仿宋_GB2312"/>
          <w:b/>
          <w:sz w:val="31"/>
          <w:szCs w:val="31"/>
        </w:rPr>
        <w:t>第五条</w:t>
      </w:r>
      <w:r>
        <w:rPr>
          <w:rFonts w:ascii="仿宋_GB2312" w:hAnsi="Segoe UI" w:eastAsia="仿宋_GB2312" w:cs="仿宋_GB2312"/>
          <w:color w:val="212529"/>
          <w:sz w:val="31"/>
          <w:szCs w:val="31"/>
          <w:shd w:val="clear" w:color="auto" w:fill="FFFFFF"/>
        </w:rPr>
        <w:t> </w:t>
      </w:r>
      <w:r>
        <w:rPr>
          <w:rFonts w:ascii="仿宋_GB2312" w:hAnsi="Calibri" w:eastAsia="仿宋_GB2312" w:cs="仿宋_GB2312"/>
          <w:color w:val="212529"/>
          <w:sz w:val="31"/>
          <w:szCs w:val="31"/>
          <w:shd w:val="clear" w:color="auto" w:fill="FFFFFF"/>
        </w:rPr>
        <w:t>承办法官或执行员应根据上级法院和本院关于涉</w:t>
      </w:r>
      <w:r>
        <w:rPr>
          <w:rFonts w:ascii="仿宋_GB2312" w:hAnsi="Segoe UI" w:eastAsia="仿宋_GB2312" w:cs="仿宋_GB2312"/>
          <w:color w:val="212529"/>
          <w:sz w:val="31"/>
          <w:szCs w:val="31"/>
          <w:shd w:val="clear" w:color="auto" w:fill="FFFFFF"/>
        </w:rPr>
        <w:t>企</w:t>
      </w:r>
      <w:r>
        <w:rPr>
          <w:rFonts w:ascii="仿宋_GB2312" w:hAnsi="Calibri" w:eastAsia="仿宋_GB2312" w:cs="仿宋_GB2312"/>
          <w:color w:val="212529"/>
          <w:sz w:val="31"/>
          <w:szCs w:val="31"/>
          <w:shd w:val="clear" w:color="auto" w:fill="FFFFFF"/>
        </w:rPr>
        <w:t>案件经济影响评估制度的要求，认真分析企业的自评意见和司法需求，采取快速立案、审慎保全、优先审理、破产重整、高效执行、信用修复等应对措施。</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hint="eastAsia" w:ascii="仿宋_GB2312" w:hAnsi="Calibri" w:eastAsia="仿宋_GB2312" w:cs="仿宋_GB2312"/>
          <w:b/>
          <w:sz w:val="31"/>
          <w:szCs w:val="31"/>
        </w:rPr>
        <w:t>第六条</w:t>
      </w:r>
      <w:r>
        <w:rPr>
          <w:rFonts w:ascii="仿宋_GB2312" w:hAnsi="Segoe UI" w:eastAsia="仿宋_GB2312" w:cs="仿宋_GB2312"/>
          <w:color w:val="212529"/>
          <w:sz w:val="31"/>
          <w:szCs w:val="31"/>
          <w:shd w:val="clear" w:color="auto" w:fill="FFFFFF"/>
        </w:rPr>
        <w:t> </w:t>
      </w:r>
      <w:r>
        <w:rPr>
          <w:rFonts w:ascii="仿宋_GB2312" w:hAnsi="Calibri" w:eastAsia="仿宋_GB2312" w:cs="仿宋_GB2312"/>
          <w:color w:val="212529"/>
          <w:sz w:val="31"/>
          <w:szCs w:val="31"/>
          <w:shd w:val="clear" w:color="auto" w:fill="FFFFFF"/>
        </w:rPr>
        <w:t>承办法官或执行员应根据案件评级等次，向不同的监管责任人层报工作情况及案件办理意见，既可以通过书面报告、文书阅核等方式汇报，也可以通过专业法官会议、审判委员会等会议汇报。</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ascii="仿宋_GB2312" w:hAnsi="Calibri" w:eastAsia="仿宋_GB2312" w:cs="仿宋_GB2312"/>
          <w:color w:val="212529"/>
          <w:sz w:val="31"/>
          <w:szCs w:val="31"/>
          <w:shd w:val="clear" w:color="auto" w:fill="FFFFFF"/>
        </w:rPr>
        <w:t>各审判执行部门应每月定期汇总本部门涉企案件分级评估工作情况报院领导，并提交审管办备案。</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ascii="仿宋_GB2312" w:hAnsi="Segoe UI" w:eastAsia="仿宋_GB2312" w:cs="仿宋_GB2312"/>
          <w:color w:val="212529"/>
          <w:sz w:val="31"/>
          <w:szCs w:val="31"/>
          <w:shd w:val="clear" w:color="auto" w:fill="FFFFFF"/>
        </w:rPr>
        <w:t> </w:t>
      </w:r>
    </w:p>
    <w:p>
      <w:pPr>
        <w:pStyle w:val="4"/>
        <w:widowControl/>
        <w:shd w:val="clear" w:color="auto" w:fill="FFFFFF"/>
        <w:spacing w:before="0" w:beforeAutospacing="0" w:after="0" w:afterAutospacing="0" w:line="600" w:lineRule="atLeast"/>
        <w:ind w:firstLine="645"/>
        <w:jc w:val="both"/>
        <w:rPr>
          <w:rFonts w:ascii="Segoe UI" w:hAnsi="Segoe UI" w:eastAsia="Segoe UI" w:cs="Segoe UI"/>
          <w:color w:val="212529"/>
          <w:sz w:val="27"/>
          <w:szCs w:val="27"/>
        </w:rPr>
      </w:pPr>
      <w:r>
        <w:rPr>
          <w:rFonts w:ascii="仿宋_GB2312" w:hAnsi="Segoe UI" w:eastAsia="仿宋_GB2312" w:cs="仿宋_GB2312"/>
          <w:color w:val="212529"/>
          <w:sz w:val="31"/>
          <w:szCs w:val="31"/>
          <w:shd w:val="clear" w:color="auto" w:fill="FFFFFF"/>
        </w:rPr>
        <w:t> </w:t>
      </w:r>
    </w:p>
    <w:p>
      <w:pPr>
        <w:pStyle w:val="4"/>
        <w:widowControl/>
        <w:shd w:val="clear" w:color="auto" w:fill="FFFFFF"/>
        <w:spacing w:before="0" w:beforeAutospacing="0" w:after="0" w:afterAutospacing="0" w:line="600" w:lineRule="atLeast"/>
        <w:ind w:firstLine="645"/>
        <w:jc w:val="right"/>
        <w:rPr>
          <w:rFonts w:ascii="仿宋_GB2312" w:hAnsi="Segoe UI" w:eastAsia="仿宋_GB2312" w:cs="仿宋_GB2312"/>
          <w:color w:val="212529"/>
          <w:sz w:val="31"/>
          <w:szCs w:val="31"/>
          <w:shd w:val="clear" w:color="auto" w:fill="FFFFFF"/>
        </w:rPr>
      </w:pPr>
    </w:p>
    <w:p>
      <w:pPr>
        <w:pStyle w:val="4"/>
        <w:widowControl/>
        <w:shd w:val="clear" w:color="auto" w:fill="FFFFFF"/>
        <w:spacing w:before="0" w:beforeAutospacing="0" w:after="0" w:afterAutospacing="0" w:line="600" w:lineRule="atLeast"/>
        <w:ind w:firstLine="645"/>
        <w:jc w:val="right"/>
        <w:rPr>
          <w:rFonts w:ascii="仿宋_GB2312" w:hAnsi="Segoe UI" w:eastAsia="仿宋_GB2312" w:cs="仿宋_GB2312"/>
          <w:color w:val="212529"/>
          <w:sz w:val="31"/>
          <w:szCs w:val="31"/>
          <w:shd w:val="clear" w:color="auto" w:fill="FFFFFF"/>
        </w:rPr>
      </w:pPr>
    </w:p>
    <w:p>
      <w:pPr>
        <w:pStyle w:val="4"/>
        <w:widowControl/>
        <w:shd w:val="clear" w:color="auto" w:fill="FFFFFF"/>
        <w:spacing w:before="0" w:beforeAutospacing="0" w:after="0" w:afterAutospacing="0" w:line="600" w:lineRule="atLeast"/>
        <w:ind w:firstLine="645"/>
        <w:jc w:val="right"/>
        <w:rPr>
          <w:rFonts w:ascii="仿宋_GB2312" w:hAnsi="Segoe UI" w:eastAsia="仿宋_GB2312" w:cs="仿宋_GB2312"/>
          <w:color w:val="212529"/>
          <w:sz w:val="31"/>
          <w:szCs w:val="31"/>
          <w:shd w:val="clear" w:color="auto" w:fill="FFFFFF"/>
        </w:rPr>
      </w:pPr>
    </w:p>
    <w:p>
      <w:pPr>
        <w:adjustRightInd/>
        <w:snapToGrid/>
        <w:spacing w:line="220" w:lineRule="atLeast"/>
        <w:rPr>
          <w:rFonts w:ascii="仿宋_GB2312" w:hAnsi="Segoe UI" w:eastAsia="仿宋_GB2312" w:cs="仿宋_GB2312"/>
          <w:color w:val="212529"/>
          <w:sz w:val="31"/>
          <w:szCs w:val="31"/>
          <w:shd w:val="clear" w:color="auto" w:fill="FFFFFF"/>
        </w:rPr>
      </w:pPr>
      <w:r>
        <w:rPr>
          <w:rFonts w:ascii="仿宋_GB2312" w:hAnsi="Segoe UI" w:eastAsia="仿宋_GB2312" w:cs="仿宋_GB2312"/>
          <w:color w:val="212529"/>
          <w:sz w:val="31"/>
          <w:szCs w:val="31"/>
          <w:shd w:val="clear" w:color="auto" w:fill="FFFFFF"/>
        </w:rPr>
        <w:t> </w:t>
      </w:r>
      <w:r>
        <w:rPr>
          <w:rFonts w:ascii="仿宋_GB2312" w:hAnsi="Segoe UI" w:eastAsia="仿宋_GB2312" w:cs="仿宋_GB2312"/>
          <w:color w:val="212529"/>
          <w:sz w:val="31"/>
          <w:szCs w:val="31"/>
          <w:shd w:val="clear" w:color="auto" w:fill="FFFFFF"/>
        </w:rPr>
        <w:br w:type="page"/>
      </w:r>
    </w:p>
    <w:p>
      <w:pPr>
        <w:pStyle w:val="4"/>
        <w:widowControl/>
        <w:shd w:val="clear" w:color="auto" w:fill="FFFFFF"/>
        <w:spacing w:before="0" w:beforeAutospacing="0" w:after="0" w:afterAutospacing="0"/>
        <w:jc w:val="both"/>
        <w:rPr>
          <w:rFonts w:ascii="Segoe UI" w:hAnsi="Segoe UI" w:eastAsia="Segoe UI" w:cs="Segoe UI"/>
          <w:color w:val="212529"/>
          <w:sz w:val="27"/>
          <w:szCs w:val="27"/>
        </w:rPr>
      </w:pPr>
      <w:r>
        <w:rPr>
          <w:rFonts w:ascii="仿宋_GB2312" w:hAnsi="Segoe UI" w:eastAsia="仿宋_GB2312" w:cs="仿宋_GB2312"/>
          <w:color w:val="212529"/>
          <w:sz w:val="31"/>
          <w:szCs w:val="31"/>
          <w:shd w:val="clear" w:color="auto" w:fill="FFFFFF"/>
        </w:rPr>
        <w:t>附件2</w:t>
      </w:r>
    </w:p>
    <w:p>
      <w:pPr>
        <w:pStyle w:val="4"/>
        <w:widowControl/>
        <w:shd w:val="clear" w:color="auto" w:fill="FFFFFF"/>
        <w:spacing w:before="0" w:beforeAutospacing="0" w:after="0" w:afterAutospacing="0" w:line="570" w:lineRule="atLeast"/>
        <w:ind w:firstLine="645"/>
        <w:jc w:val="center"/>
        <w:rPr>
          <w:rFonts w:ascii="黑体" w:hAnsi="宋体" w:eastAsia="黑体" w:cs="黑体"/>
          <w:color w:val="212529"/>
          <w:sz w:val="48"/>
          <w:szCs w:val="48"/>
          <w:shd w:val="clear" w:color="auto" w:fill="FFFFFF"/>
        </w:rPr>
      </w:pPr>
      <w:r>
        <w:rPr>
          <w:rFonts w:hint="eastAsia" w:ascii="黑体" w:hAnsi="宋体" w:eastAsia="黑体" w:cs="黑体"/>
          <w:color w:val="212529"/>
          <w:sz w:val="48"/>
          <w:szCs w:val="48"/>
          <w:shd w:val="clear" w:color="auto" w:fill="FFFFFF"/>
        </w:rPr>
        <w:t>红黄蓝标准</w:t>
      </w:r>
    </w:p>
    <w:p>
      <w:pPr>
        <w:pStyle w:val="4"/>
        <w:widowControl/>
        <w:shd w:val="clear" w:color="auto" w:fill="FFFFFF"/>
        <w:spacing w:before="0" w:beforeAutospacing="0" w:after="0" w:afterAutospacing="0" w:line="570" w:lineRule="atLeast"/>
        <w:ind w:firstLine="645"/>
        <w:jc w:val="center"/>
        <w:rPr>
          <w:rFonts w:ascii="黑体" w:hAnsi="宋体" w:eastAsia="黑体" w:cs="黑体"/>
          <w:color w:val="212529"/>
          <w:sz w:val="48"/>
          <w:szCs w:val="48"/>
          <w:shd w:val="clear" w:color="auto" w:fill="FFFFFF"/>
        </w:rPr>
      </w:pPr>
    </w:p>
    <w:p>
      <w:pPr>
        <w:pStyle w:val="4"/>
        <w:widowControl/>
        <w:shd w:val="clear" w:color="auto" w:fill="FFFFFF"/>
        <w:spacing w:before="0" w:beforeAutospacing="0" w:after="0" w:afterAutospacing="0" w:line="570" w:lineRule="atLeast"/>
        <w:ind w:firstLine="645"/>
        <w:jc w:val="both"/>
        <w:rPr>
          <w:rFonts w:ascii="黑体" w:hAnsi="黑体" w:eastAsia="黑体" w:cs="Segoe UI"/>
          <w:b/>
          <w:color w:val="212529"/>
          <w:sz w:val="27"/>
          <w:szCs w:val="27"/>
        </w:rPr>
      </w:pPr>
      <w:r>
        <w:rPr>
          <w:rStyle w:val="7"/>
          <w:rFonts w:ascii="黑体" w:hAnsi="黑体" w:eastAsia="黑体" w:cs="楷体_GB2312"/>
          <w:b w:val="0"/>
          <w:bCs w:val="0"/>
          <w:color w:val="212529"/>
          <w:sz w:val="31"/>
          <w:szCs w:val="31"/>
          <w:shd w:val="clear" w:color="auto" w:fill="FFFFFF"/>
        </w:rPr>
        <w:t>一</w:t>
      </w:r>
      <w:r>
        <w:rPr>
          <w:rStyle w:val="7"/>
          <w:rFonts w:hint="eastAsia" w:ascii="黑体" w:hAnsi="黑体" w:eastAsia="黑体" w:cs="楷体_GB2312"/>
          <w:b w:val="0"/>
          <w:bCs w:val="0"/>
          <w:color w:val="212529"/>
          <w:sz w:val="31"/>
          <w:szCs w:val="31"/>
          <w:shd w:val="clear" w:color="auto" w:fill="FFFFFF"/>
        </w:rPr>
        <w:t>、</w:t>
      </w:r>
      <w:r>
        <w:rPr>
          <w:rStyle w:val="7"/>
          <w:rFonts w:ascii="黑体" w:hAnsi="黑体" w:eastAsia="黑体" w:cs="楷体_GB2312"/>
          <w:b w:val="0"/>
          <w:bCs w:val="0"/>
          <w:color w:val="212529"/>
          <w:sz w:val="31"/>
          <w:szCs w:val="31"/>
          <w:shd w:val="clear" w:color="auto" w:fill="FFFFFF"/>
        </w:rPr>
        <w:t>确定风险划分的标准依据</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1.涉案金额大小：</w:t>
      </w:r>
      <w:r>
        <w:rPr>
          <w:rFonts w:ascii="仿宋_GB2312" w:hAnsi="Segoe UI" w:eastAsia="仿宋_GB2312" w:cs="仿宋_GB2312"/>
          <w:color w:val="212529"/>
          <w:sz w:val="31"/>
          <w:szCs w:val="31"/>
          <w:shd w:val="clear" w:color="auto" w:fill="FFFFFF"/>
        </w:rPr>
        <w:t>对企业的财务风险影响，案涉金额占注册资本的比重。</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2.群体事件可能性：</w:t>
      </w:r>
      <w:r>
        <w:rPr>
          <w:rFonts w:ascii="仿宋_GB2312" w:hAnsi="Segoe UI" w:eastAsia="仿宋_GB2312" w:cs="仿宋_GB2312"/>
          <w:color w:val="212529"/>
          <w:sz w:val="31"/>
          <w:szCs w:val="31"/>
          <w:shd w:val="clear" w:color="auto" w:fill="FFFFFF"/>
        </w:rPr>
        <w:t>根据企业的历史数据、案件性质、可能产生的社会影响等因素进行综合分析。</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3.案件处理难度：</w:t>
      </w:r>
      <w:r>
        <w:rPr>
          <w:rFonts w:ascii="仿宋_GB2312" w:hAnsi="Segoe UI" w:eastAsia="仿宋_GB2312" w:cs="仿宋_GB2312"/>
          <w:color w:val="212529"/>
          <w:sz w:val="31"/>
          <w:szCs w:val="31"/>
          <w:shd w:val="clear" w:color="auto" w:fill="FFFFFF"/>
        </w:rPr>
        <w:t>案件的复杂性、涉及的法律关系、是否存在法律适用的争议等进行分析。</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4.信访、诉讼风险：</w:t>
      </w:r>
      <w:r>
        <w:rPr>
          <w:rFonts w:ascii="仿宋_GB2312" w:hAnsi="Segoe UI" w:eastAsia="仿宋_GB2312" w:cs="仿宋_GB2312"/>
          <w:color w:val="212529"/>
          <w:sz w:val="31"/>
          <w:szCs w:val="31"/>
          <w:shd w:val="clear" w:color="auto" w:fill="FFFFFF"/>
        </w:rPr>
        <w:t>根据企业在诉案件情况、历史因素、当事人诉求等因素进行分析。</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5.执行能力：</w:t>
      </w:r>
      <w:r>
        <w:rPr>
          <w:rFonts w:ascii="仿宋_GB2312" w:hAnsi="Segoe UI" w:eastAsia="仿宋_GB2312" w:cs="仿宋_GB2312"/>
          <w:color w:val="212529"/>
          <w:sz w:val="31"/>
          <w:szCs w:val="31"/>
          <w:shd w:val="clear" w:color="auto" w:fill="FFFFFF"/>
        </w:rPr>
        <w:t>根据企业的债权债务情况，分析企业的执行到位能力，对企业采取合理可取的执行措施。</w:t>
      </w:r>
    </w:p>
    <w:p>
      <w:pPr>
        <w:pStyle w:val="4"/>
        <w:widowControl/>
        <w:shd w:val="clear" w:color="auto" w:fill="FFFFFF"/>
        <w:spacing w:before="0" w:beforeAutospacing="0" w:after="0" w:afterAutospacing="0" w:line="570" w:lineRule="atLeast"/>
        <w:ind w:firstLine="645"/>
        <w:jc w:val="both"/>
        <w:rPr>
          <w:rStyle w:val="7"/>
          <w:rFonts w:ascii="黑体" w:hAnsi="黑体" w:eastAsia="黑体" w:cs="楷体_GB2312"/>
          <w:sz w:val="31"/>
          <w:szCs w:val="31"/>
          <w:shd w:val="clear" w:color="auto" w:fill="FFFFFF"/>
        </w:rPr>
      </w:pPr>
      <w:r>
        <w:rPr>
          <w:rStyle w:val="7"/>
          <w:rFonts w:ascii="黑体" w:hAnsi="黑体" w:eastAsia="黑体" w:cs="楷体_GB2312"/>
          <w:b w:val="0"/>
          <w:bCs w:val="0"/>
          <w:color w:val="212529"/>
          <w:sz w:val="31"/>
          <w:szCs w:val="31"/>
          <w:shd w:val="clear" w:color="auto" w:fill="FFFFFF"/>
        </w:rPr>
        <w:t>二</w:t>
      </w:r>
      <w:r>
        <w:rPr>
          <w:rStyle w:val="7"/>
          <w:rFonts w:hint="eastAsia" w:ascii="黑体" w:hAnsi="黑体" w:eastAsia="黑体" w:cs="楷体_GB2312"/>
          <w:b w:val="0"/>
          <w:bCs w:val="0"/>
          <w:color w:val="212529"/>
          <w:sz w:val="31"/>
          <w:szCs w:val="31"/>
          <w:shd w:val="clear" w:color="auto" w:fill="FFFFFF"/>
        </w:rPr>
        <w:t>、</w:t>
      </w:r>
      <w:r>
        <w:rPr>
          <w:rStyle w:val="7"/>
          <w:rFonts w:ascii="黑体" w:hAnsi="黑体" w:eastAsia="黑体" w:cs="楷体_GB2312"/>
          <w:b w:val="0"/>
          <w:bCs w:val="0"/>
          <w:color w:val="212529"/>
          <w:sz w:val="31"/>
          <w:szCs w:val="31"/>
          <w:shd w:val="clear" w:color="auto" w:fill="FFFFFF"/>
        </w:rPr>
        <w:t>风险等级</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1.红色等级—高风险、严重影响</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Fonts w:ascii="仿宋_GB2312" w:hAnsi="Segoe UI" w:eastAsia="仿宋_GB2312" w:cs="仿宋_GB2312"/>
          <w:color w:val="212529"/>
          <w:sz w:val="31"/>
          <w:szCs w:val="31"/>
          <w:shd w:val="clear" w:color="auto" w:fill="FFFFFF"/>
        </w:rPr>
        <w:t>案涉金额（或经企业自评经济损失金额）占注册资本的比重超过80%的，重大疑难复杂敏感案件，案涉群体性利益、案涉长期信访者、由上级转办的信访案件，执行后企业势必进入破产程序的案件。</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2.黄色等级—中等风险、较大影响</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Fonts w:ascii="仿宋_GB2312" w:hAnsi="Segoe UI" w:eastAsia="仿宋_GB2312" w:cs="仿宋_GB2312"/>
          <w:color w:val="212529"/>
          <w:sz w:val="31"/>
          <w:szCs w:val="31"/>
          <w:shd w:val="clear" w:color="auto" w:fill="FFFFFF"/>
        </w:rPr>
        <w:t>案涉金额（或经企业自评经济损失金额）占注册资本的比重低于80%但超过40%的，案件法律关系涉及3个、可能存在信访，执行难度较大或执行后对企业经营影响较大可能导致企业进入破产的案件。</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3.蓝色等级—低风险、较小影响</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Fonts w:ascii="仿宋_GB2312" w:hAnsi="Segoe UI" w:eastAsia="仿宋_GB2312" w:cs="仿宋_GB2312"/>
          <w:color w:val="212529"/>
          <w:sz w:val="31"/>
          <w:szCs w:val="31"/>
          <w:shd w:val="clear" w:color="auto" w:fill="FFFFFF"/>
        </w:rPr>
        <w:t>案涉金额（或经企业自评经济损失金额）占注册资本的比重低于40%，案件涉及法律关系2个以下，有可供执行财产，且执行后对企业经营无重大影响的案件。</w:t>
      </w:r>
    </w:p>
    <w:p>
      <w:pPr>
        <w:pStyle w:val="4"/>
        <w:widowControl/>
        <w:shd w:val="clear" w:color="auto" w:fill="FFFFFF"/>
        <w:spacing w:before="0" w:beforeAutospacing="0" w:after="0" w:afterAutospacing="0" w:line="570" w:lineRule="atLeast"/>
        <w:ind w:firstLine="645"/>
        <w:jc w:val="both"/>
        <w:rPr>
          <w:rFonts w:ascii="黑体" w:hAnsi="黑体" w:eastAsia="黑体" w:cs="Segoe UI"/>
          <w:color w:val="212529"/>
          <w:sz w:val="27"/>
          <w:szCs w:val="27"/>
        </w:rPr>
      </w:pPr>
      <w:r>
        <w:rPr>
          <w:rStyle w:val="7"/>
          <w:rFonts w:ascii="黑体" w:hAnsi="黑体" w:eastAsia="黑体" w:cs="楷体_GB2312"/>
          <w:b w:val="0"/>
          <w:bCs w:val="0"/>
          <w:color w:val="212529"/>
          <w:sz w:val="31"/>
          <w:szCs w:val="31"/>
          <w:shd w:val="clear" w:color="auto" w:fill="FFFFFF"/>
        </w:rPr>
        <w:t>三</w:t>
      </w:r>
      <w:r>
        <w:rPr>
          <w:rStyle w:val="7"/>
          <w:rFonts w:hint="eastAsia" w:ascii="黑体" w:hAnsi="黑体" w:eastAsia="黑体" w:cs="楷体_GB2312"/>
          <w:b w:val="0"/>
          <w:bCs w:val="0"/>
          <w:color w:val="212529"/>
          <w:sz w:val="31"/>
          <w:szCs w:val="31"/>
          <w:shd w:val="clear" w:color="auto" w:fill="FFFFFF"/>
        </w:rPr>
        <w:t>、</w:t>
      </w:r>
      <w:r>
        <w:rPr>
          <w:rStyle w:val="7"/>
          <w:rFonts w:ascii="黑体" w:hAnsi="黑体" w:eastAsia="黑体" w:cs="楷体_GB2312"/>
          <w:b w:val="0"/>
          <w:bCs w:val="0"/>
          <w:color w:val="212529"/>
          <w:sz w:val="31"/>
          <w:szCs w:val="31"/>
          <w:shd w:val="clear" w:color="auto" w:fill="FFFFFF"/>
        </w:rPr>
        <w:t>实质性评估</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1.法官评估。</w:t>
      </w:r>
      <w:r>
        <w:rPr>
          <w:rFonts w:ascii="仿宋_GB2312" w:hAnsi="Segoe UI" w:eastAsia="仿宋_GB2312" w:cs="仿宋_GB2312"/>
          <w:color w:val="212529"/>
          <w:sz w:val="31"/>
          <w:szCs w:val="31"/>
          <w:shd w:val="clear" w:color="auto" w:fill="FFFFFF"/>
        </w:rPr>
        <w:t>在立、审、执各个办案节点由立案人员、承办法官、执行法官对案件的办理可能对企业造成的经济影响进行评估。</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2.企业自评。</w:t>
      </w:r>
      <w:r>
        <w:rPr>
          <w:rFonts w:ascii="仿宋_GB2312" w:hAnsi="Segoe UI" w:eastAsia="仿宋_GB2312" w:cs="仿宋_GB2312"/>
          <w:color w:val="212529"/>
          <w:sz w:val="31"/>
          <w:szCs w:val="31"/>
          <w:shd w:val="clear" w:color="auto" w:fill="FFFFFF"/>
        </w:rPr>
        <w:t>在立、审、执各个办案节点向企业发放《涉企案件经济影响评估告知书</w:t>
      </w:r>
      <w:r>
        <w:rPr>
          <w:rFonts w:hint="eastAsia" w:ascii="仿宋_GB2312" w:hAnsi="Segoe UI" w:eastAsia="仿宋_GB2312" w:cs="仿宋_GB2312"/>
          <w:color w:val="212529"/>
          <w:sz w:val="31"/>
          <w:szCs w:val="31"/>
          <w:shd w:val="clear" w:color="auto" w:fill="FFFFFF"/>
        </w:rPr>
        <w:t>》《</w:t>
      </w:r>
      <w:r>
        <w:rPr>
          <w:rFonts w:ascii="仿宋_GB2312" w:hAnsi="Segoe UI" w:eastAsia="仿宋_GB2312" w:cs="仿宋_GB2312"/>
          <w:color w:val="212529"/>
          <w:sz w:val="31"/>
          <w:szCs w:val="31"/>
          <w:shd w:val="clear" w:color="auto" w:fill="FFFFFF"/>
        </w:rPr>
        <w:t>企业涉诉经济影响自评表》由企业进行自评。</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Style w:val="7"/>
          <w:rFonts w:ascii="仿宋_GB2312" w:hAnsi="Segoe UI" w:eastAsia="仿宋_GB2312" w:cs="仿宋_GB2312"/>
          <w:b w:val="0"/>
          <w:bCs w:val="0"/>
          <w:color w:val="212529"/>
          <w:sz w:val="31"/>
          <w:szCs w:val="31"/>
          <w:shd w:val="clear" w:color="auto" w:fill="FFFFFF"/>
        </w:rPr>
        <w:t>3.专业评估。</w:t>
      </w:r>
      <w:r>
        <w:rPr>
          <w:rFonts w:ascii="仿宋_GB2312" w:hAnsi="Segoe UI" w:eastAsia="仿宋_GB2312" w:cs="仿宋_GB2312"/>
          <w:color w:val="212529"/>
          <w:sz w:val="31"/>
          <w:szCs w:val="31"/>
          <w:shd w:val="clear" w:color="auto" w:fill="FFFFFF"/>
        </w:rPr>
        <w:t>对部分涉及重点企业的案件，结合市场监督管理局、税务局、工商联等部门的专业人员对案件的办理可能对企业造成的经济影响进行专业评估。</w:t>
      </w:r>
    </w:p>
    <w:p>
      <w:pPr>
        <w:pStyle w:val="4"/>
        <w:widowControl/>
        <w:shd w:val="clear" w:color="auto" w:fill="FFFFFF"/>
        <w:spacing w:before="0" w:beforeAutospacing="0" w:after="0" w:afterAutospacing="0" w:line="570" w:lineRule="atLeast"/>
        <w:ind w:firstLine="645"/>
        <w:jc w:val="both"/>
        <w:rPr>
          <w:rFonts w:ascii="黑体" w:hAnsi="黑体" w:eastAsia="黑体" w:cs="Segoe UI"/>
          <w:color w:val="212529"/>
          <w:sz w:val="27"/>
          <w:szCs w:val="27"/>
        </w:rPr>
      </w:pPr>
      <w:r>
        <w:rPr>
          <w:rStyle w:val="7"/>
          <w:rFonts w:ascii="黑体" w:hAnsi="黑体" w:eastAsia="黑体" w:cs="楷体_GB2312"/>
          <w:b w:val="0"/>
          <w:bCs w:val="0"/>
          <w:color w:val="212529"/>
          <w:sz w:val="31"/>
          <w:szCs w:val="31"/>
          <w:shd w:val="clear" w:color="auto" w:fill="FFFFFF"/>
        </w:rPr>
        <w:t>四</w:t>
      </w:r>
      <w:r>
        <w:rPr>
          <w:rStyle w:val="7"/>
          <w:rFonts w:hint="eastAsia" w:ascii="黑体" w:hAnsi="黑体" w:eastAsia="黑体" w:cs="楷体_GB2312"/>
          <w:b w:val="0"/>
          <w:bCs w:val="0"/>
          <w:color w:val="212529"/>
          <w:sz w:val="31"/>
          <w:szCs w:val="31"/>
          <w:shd w:val="clear" w:color="auto" w:fill="FFFFFF"/>
        </w:rPr>
        <w:t>、</w:t>
      </w:r>
      <w:r>
        <w:rPr>
          <w:rStyle w:val="7"/>
          <w:rFonts w:ascii="黑体" w:hAnsi="黑体" w:eastAsia="黑体" w:cs="楷体_GB2312"/>
          <w:b w:val="0"/>
          <w:bCs w:val="0"/>
          <w:color w:val="212529"/>
          <w:sz w:val="31"/>
          <w:szCs w:val="31"/>
          <w:shd w:val="clear" w:color="auto" w:fill="FFFFFF"/>
        </w:rPr>
        <w:t>评估结果运用</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Fonts w:ascii="仿宋_GB2312" w:hAnsi="Segoe UI" w:eastAsia="仿宋_GB2312" w:cs="仿宋_GB2312"/>
          <w:color w:val="212529"/>
          <w:sz w:val="31"/>
          <w:szCs w:val="31"/>
          <w:shd w:val="clear" w:color="auto" w:fill="FFFFFF"/>
        </w:rPr>
        <w:t>1.确定为红色等级的案件，先按照“四类案件”监管管理规定执行并标识为四类案件，对该类案件主打“繁案精办”，采用“一案一策”督办管理制度，从立案、审理、执行等多环节做好沟通工作，充分发挥司法能动作用，帮助其化解矛盾。</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Fonts w:ascii="仿宋_GB2312" w:hAnsi="Segoe UI" w:eastAsia="仿宋_GB2312" w:cs="仿宋_GB2312"/>
          <w:color w:val="212529"/>
          <w:sz w:val="31"/>
          <w:szCs w:val="31"/>
          <w:shd w:val="clear" w:color="auto" w:fill="FFFFFF"/>
        </w:rPr>
        <w:t>2.确定为黄色等级的案件，一律按涉企阅核制落实监管职责，对该类案件推行“边审理、边调解”办案模式，充分与双方当事人沟通，做好释法说理工作、分析利弊，促使矛盾纠纷化解。</w:t>
      </w:r>
    </w:p>
    <w:p>
      <w:pPr>
        <w:pStyle w:val="4"/>
        <w:widowControl/>
        <w:shd w:val="clear" w:color="auto" w:fill="FFFFFF"/>
        <w:spacing w:before="0" w:beforeAutospacing="0" w:after="0" w:afterAutospacing="0" w:line="570" w:lineRule="atLeast"/>
        <w:ind w:firstLine="645"/>
        <w:jc w:val="both"/>
        <w:rPr>
          <w:rFonts w:ascii="Segoe UI" w:hAnsi="Segoe UI" w:eastAsia="Segoe UI" w:cs="Segoe UI"/>
          <w:color w:val="212529"/>
          <w:sz w:val="27"/>
          <w:szCs w:val="27"/>
        </w:rPr>
      </w:pPr>
      <w:r>
        <w:rPr>
          <w:rFonts w:ascii="仿宋_GB2312" w:hAnsi="Segoe UI" w:eastAsia="仿宋_GB2312" w:cs="仿宋_GB2312"/>
          <w:color w:val="212529"/>
          <w:sz w:val="31"/>
          <w:szCs w:val="31"/>
          <w:shd w:val="clear" w:color="auto" w:fill="FFFFFF"/>
        </w:rPr>
        <w:t>3.确定为蓝色等级的案件，推行“快立快调快审”、促成执行和解，审慎采用执行强制措施，优先适用对自动履行的企业采取执行费用减半、信用修复等政策，最大限度降低司法活动对企业可能造成的影响。</w:t>
      </w:r>
    </w:p>
    <w:p>
      <w:pPr>
        <w:widowControl w:val="0"/>
        <w:adjustRightInd/>
        <w:snapToGrid/>
        <w:spacing w:line="560" w:lineRule="exact"/>
        <w:jc w:val="center"/>
        <w:rPr>
          <w:rFonts w:ascii="方正小标宋简体" w:hAnsi="方正小标宋简体" w:eastAsia="方正小标宋简体" w:cs="方正小标宋简体"/>
          <w:sz w:val="44"/>
          <w:szCs w:val="44"/>
        </w:rPr>
      </w:pPr>
    </w:p>
    <w:p>
      <w:pPr>
        <w:widowControl w:val="0"/>
        <w:adjustRightInd/>
        <w:snapToGrid/>
        <w:spacing w:line="560" w:lineRule="exact"/>
        <w:jc w:val="center"/>
        <w:rPr>
          <w:rFonts w:ascii="方正小标宋简体" w:hAnsi="方正小标宋简体" w:eastAsia="方正小标宋简体" w:cs="方正小标宋简体"/>
          <w:sz w:val="44"/>
          <w:szCs w:val="44"/>
        </w:rPr>
      </w:pPr>
    </w:p>
    <w:p>
      <w:pPr>
        <w:widowControl w:val="0"/>
        <w:adjustRightInd/>
        <w:snapToGrid/>
        <w:spacing w:line="560" w:lineRule="exact"/>
        <w:jc w:val="center"/>
        <w:rPr>
          <w:rFonts w:ascii="方正小标宋简体" w:hAnsi="方正小标宋简体" w:eastAsia="方正小标宋简体" w:cs="方正小标宋简体"/>
          <w:sz w:val="44"/>
          <w:szCs w:val="44"/>
        </w:rPr>
      </w:pPr>
    </w:p>
    <w:p>
      <w:pPr>
        <w:widowControl w:val="0"/>
        <w:adjustRightInd/>
        <w:snapToGrid/>
        <w:spacing w:line="560" w:lineRule="exact"/>
        <w:jc w:val="center"/>
        <w:rPr>
          <w:rFonts w:ascii="方正小标宋简体" w:hAnsi="方正小标宋简体" w:eastAsia="方正小标宋简体" w:cs="方正小标宋简体"/>
          <w:sz w:val="44"/>
          <w:szCs w:val="44"/>
        </w:rPr>
      </w:pPr>
    </w:p>
    <w:p>
      <w:pPr>
        <w:widowControl w:val="0"/>
        <w:adjustRightInd/>
        <w:snapToGrid/>
        <w:spacing w:line="560" w:lineRule="exact"/>
        <w:jc w:val="center"/>
        <w:rPr>
          <w:rFonts w:ascii="方正小标宋简体" w:hAnsi="方正小标宋简体" w:eastAsia="方正小标宋简体" w:cs="方正小标宋简体"/>
          <w:sz w:val="44"/>
          <w:szCs w:val="44"/>
        </w:rPr>
      </w:pPr>
    </w:p>
    <w:p>
      <w:pPr>
        <w:widowControl w:val="0"/>
        <w:adjustRightInd/>
        <w:snapToGrid/>
        <w:spacing w:line="560" w:lineRule="exact"/>
        <w:jc w:val="center"/>
        <w:rPr>
          <w:rFonts w:ascii="方正小标宋简体" w:hAnsi="方正小标宋简体" w:eastAsia="方正小标宋简体" w:cs="方正小标宋简体"/>
          <w:sz w:val="44"/>
          <w:szCs w:val="44"/>
        </w:rPr>
      </w:pPr>
    </w:p>
    <w:p>
      <w:pPr>
        <w:widowControl w:val="0"/>
        <w:adjustRightInd/>
        <w:snapToGrid/>
        <w:spacing w:line="560" w:lineRule="exact"/>
        <w:jc w:val="center"/>
        <w:rPr>
          <w:rFonts w:ascii="方正小标宋简体" w:hAnsi="方正小标宋简体" w:eastAsia="方正小标宋简体" w:cs="方正小标宋简体"/>
          <w:sz w:val="44"/>
          <w:szCs w:val="44"/>
        </w:rPr>
      </w:pPr>
    </w:p>
    <w:p>
      <w:pPr>
        <w:widowControl w:val="0"/>
        <w:adjustRightInd/>
        <w:snapToGrid/>
        <w:spacing w:line="560" w:lineRule="exact"/>
        <w:jc w:val="center"/>
        <w:rPr>
          <w:rFonts w:ascii="方正小标宋简体" w:hAnsi="方正小标宋简体" w:eastAsia="方正小标宋简体" w:cs="方正小标宋简体"/>
          <w:sz w:val="44"/>
          <w:szCs w:val="44"/>
        </w:rPr>
      </w:pPr>
    </w:p>
    <w:p>
      <w:pPr>
        <w:pStyle w:val="4"/>
        <w:widowControl/>
        <w:spacing w:before="0" w:beforeAutospacing="0" w:after="0" w:afterAutospacing="0" w:line="560" w:lineRule="exact"/>
        <w:rPr>
          <w:rFonts w:ascii="仿宋_GB2312" w:eastAsia="仿宋_GB2312" w:cs="仿宋_GB2312"/>
          <w:sz w:val="31"/>
          <w:szCs w:val="31"/>
        </w:rPr>
      </w:pPr>
    </w:p>
    <w:p>
      <w:pPr>
        <w:pStyle w:val="4"/>
        <w:widowControl/>
        <w:spacing w:before="0" w:beforeAutospacing="0" w:after="0" w:afterAutospacing="0" w:line="560" w:lineRule="exact"/>
        <w:rPr>
          <w:rFonts w:ascii="仿宋_GB2312" w:eastAsia="仿宋_GB2312" w:cs="仿宋_GB2312"/>
          <w:sz w:val="31"/>
          <w:szCs w:val="31"/>
        </w:rPr>
      </w:pPr>
    </w:p>
    <w:p>
      <w:pPr>
        <w:pStyle w:val="4"/>
        <w:widowControl/>
        <w:spacing w:before="0" w:beforeAutospacing="0" w:after="0" w:afterAutospacing="0" w:line="560" w:lineRule="exact"/>
      </w:pPr>
      <w:r>
        <w:rPr>
          <w:rFonts w:ascii="仿宋_GB2312" w:eastAsia="仿宋_GB2312" w:cs="仿宋_GB2312"/>
          <w:sz w:val="31"/>
          <w:szCs w:val="31"/>
        </w:rPr>
        <w:br w:type="page"/>
      </w:r>
      <w:r>
        <w:rPr>
          <w:rFonts w:ascii="仿宋_GB2312" w:eastAsia="仿宋_GB2312" w:cs="仿宋_GB2312"/>
          <w:sz w:val="31"/>
          <w:szCs w:val="31"/>
        </w:rPr>
        <w:t>附件</w:t>
      </w:r>
      <w:r>
        <w:rPr>
          <w:rFonts w:eastAsia="仿宋_GB2312"/>
          <w:sz w:val="31"/>
          <w:szCs w:val="31"/>
        </w:rPr>
        <w:t>3</w:t>
      </w:r>
    </w:p>
    <w:tbl>
      <w:tblPr>
        <w:tblStyle w:val="5"/>
        <w:tblW w:w="912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508"/>
        <w:gridCol w:w="203"/>
        <w:gridCol w:w="679"/>
        <w:gridCol w:w="1145"/>
        <w:gridCol w:w="706"/>
        <w:gridCol w:w="919"/>
        <w:gridCol w:w="357"/>
        <w:gridCol w:w="260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77" w:hRule="atLeast"/>
          <w:jc w:val="center"/>
        </w:trPr>
        <w:tc>
          <w:tcPr>
            <w:tcW w:w="9120" w:type="dxa"/>
            <w:gridSpan w:val="8"/>
            <w:tcBorders>
              <w:top w:val="nil"/>
              <w:left w:val="nil"/>
              <w:bottom w:val="nil"/>
              <w:right w:val="nil"/>
            </w:tcBorders>
            <w:tcMar>
              <w:left w:w="105" w:type="dxa"/>
              <w:right w:w="105" w:type="dxa"/>
            </w:tcMar>
            <w:vAlign w:val="center"/>
          </w:tcPr>
          <w:p>
            <w:pPr>
              <w:pStyle w:val="4"/>
              <w:widowControl/>
              <w:spacing w:before="0" w:beforeAutospacing="0" w:after="0" w:afterAutospacing="0" w:line="560" w:lineRule="exact"/>
              <w:jc w:val="center"/>
            </w:pPr>
            <w:r>
              <w:rPr>
                <w:rFonts w:ascii="方正小标宋简体" w:hAnsi="方正小标宋简体" w:eastAsia="方正小标宋简体" w:cs="方正小标宋简体"/>
                <w:sz w:val="43"/>
                <w:szCs w:val="43"/>
              </w:rPr>
              <w:t>企业涉诉经济影响自评表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2711" w:type="dxa"/>
            <w:gridSpan w:val="2"/>
            <w:tcBorders>
              <w:top w:val="nil"/>
              <w:left w:val="nil"/>
              <w:bottom w:val="nil"/>
              <w:right w:val="nil"/>
            </w:tcBorders>
            <w:tcMar>
              <w:left w:w="105" w:type="dxa"/>
              <w:right w:w="105" w:type="dxa"/>
            </w:tcMar>
            <w:vAlign w:val="center"/>
          </w:tcPr>
          <w:p>
            <w:pPr>
              <w:adjustRightInd/>
              <w:snapToGrid/>
              <w:spacing w:line="560" w:lineRule="exact"/>
            </w:pPr>
          </w:p>
        </w:tc>
        <w:tc>
          <w:tcPr>
            <w:tcW w:w="1824" w:type="dxa"/>
            <w:gridSpan w:val="2"/>
            <w:tcBorders>
              <w:top w:val="nil"/>
              <w:left w:val="nil"/>
              <w:bottom w:val="nil"/>
              <w:right w:val="nil"/>
            </w:tcBorders>
            <w:tcMar>
              <w:left w:w="105" w:type="dxa"/>
              <w:right w:w="105" w:type="dxa"/>
            </w:tcMar>
            <w:vAlign w:val="center"/>
          </w:tcPr>
          <w:p>
            <w:pPr>
              <w:adjustRightInd/>
              <w:snapToGrid/>
              <w:spacing w:line="560" w:lineRule="exact"/>
            </w:pPr>
          </w:p>
        </w:tc>
        <w:tc>
          <w:tcPr>
            <w:tcW w:w="1625" w:type="dxa"/>
            <w:gridSpan w:val="2"/>
            <w:tcBorders>
              <w:top w:val="nil"/>
              <w:left w:val="nil"/>
              <w:bottom w:val="nil"/>
              <w:right w:val="nil"/>
            </w:tcBorders>
            <w:tcMar>
              <w:left w:w="105" w:type="dxa"/>
              <w:right w:w="105" w:type="dxa"/>
            </w:tcMar>
            <w:vAlign w:val="center"/>
          </w:tcPr>
          <w:p>
            <w:pPr>
              <w:adjustRightInd/>
              <w:snapToGrid/>
              <w:spacing w:line="560" w:lineRule="exact"/>
            </w:pPr>
          </w:p>
        </w:tc>
        <w:tc>
          <w:tcPr>
            <w:tcW w:w="2960" w:type="dxa"/>
            <w:gridSpan w:val="2"/>
            <w:tcBorders>
              <w:top w:val="nil"/>
              <w:left w:val="nil"/>
              <w:bottom w:val="nil"/>
              <w:right w:val="nil"/>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2711" w:type="dxa"/>
            <w:gridSpan w:val="2"/>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企业名称：</w:t>
            </w:r>
          </w:p>
        </w:tc>
        <w:tc>
          <w:tcPr>
            <w:tcW w:w="1824" w:type="dxa"/>
            <w:gridSpan w:val="2"/>
            <w:tcBorders>
              <w:top w:val="single" w:color="auto" w:sz="6" w:space="0"/>
              <w:left w:val="nil"/>
              <w:bottom w:val="single" w:color="auto" w:sz="6" w:space="0"/>
              <w:right w:val="single" w:color="auto" w:sz="6" w:space="0"/>
            </w:tcBorders>
            <w:tcMar>
              <w:left w:w="105" w:type="dxa"/>
              <w:right w:w="105" w:type="dxa"/>
            </w:tcMar>
            <w:vAlign w:val="center"/>
          </w:tcPr>
          <w:p>
            <w:pPr>
              <w:adjustRightInd/>
              <w:snapToGrid/>
              <w:spacing w:line="560" w:lineRule="exact"/>
            </w:pPr>
          </w:p>
        </w:tc>
        <w:tc>
          <w:tcPr>
            <w:tcW w:w="1625" w:type="dxa"/>
            <w:gridSpan w:val="2"/>
            <w:tcBorders>
              <w:top w:val="single" w:color="auto" w:sz="6" w:space="0"/>
              <w:left w:val="nil"/>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企业所在地：</w:t>
            </w:r>
          </w:p>
        </w:tc>
        <w:tc>
          <w:tcPr>
            <w:tcW w:w="2960" w:type="dxa"/>
            <w:gridSpan w:val="2"/>
            <w:tcBorders>
              <w:top w:val="single" w:color="auto" w:sz="6" w:space="0"/>
              <w:left w:val="nil"/>
              <w:bottom w:val="single" w:color="auto" w:sz="6" w:space="0"/>
              <w:right w:val="single" w:color="auto"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2" w:hRule="atLeast"/>
          <w:jc w:val="center"/>
        </w:trPr>
        <w:tc>
          <w:tcPr>
            <w:tcW w:w="2711" w:type="dxa"/>
            <w:gridSpan w:val="2"/>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企业法定代表人：</w:t>
            </w:r>
          </w:p>
        </w:tc>
        <w:tc>
          <w:tcPr>
            <w:tcW w:w="1824" w:type="dxa"/>
            <w:gridSpan w:val="2"/>
            <w:tcBorders>
              <w:top w:val="nil"/>
              <w:left w:val="nil"/>
              <w:bottom w:val="single" w:color="auto" w:sz="6" w:space="0"/>
              <w:right w:val="single" w:color="auto" w:sz="6" w:space="0"/>
            </w:tcBorders>
            <w:tcMar>
              <w:left w:w="105" w:type="dxa"/>
              <w:right w:w="105" w:type="dxa"/>
            </w:tcMar>
            <w:vAlign w:val="center"/>
          </w:tcPr>
          <w:p>
            <w:pPr>
              <w:adjustRightInd/>
              <w:snapToGrid/>
              <w:spacing w:line="560" w:lineRule="exact"/>
            </w:pPr>
          </w:p>
        </w:tc>
        <w:tc>
          <w:tcPr>
            <w:tcW w:w="1625" w:type="dxa"/>
            <w:gridSpan w:val="2"/>
            <w:tcBorders>
              <w:top w:val="nil"/>
              <w:left w:val="nil"/>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注册资本：</w:t>
            </w:r>
          </w:p>
        </w:tc>
        <w:tc>
          <w:tcPr>
            <w:tcW w:w="2960" w:type="dxa"/>
            <w:gridSpan w:val="2"/>
            <w:tcBorders>
              <w:top w:val="nil"/>
              <w:left w:val="nil"/>
              <w:bottom w:val="single" w:color="auto" w:sz="6" w:space="0"/>
              <w:right w:val="single" w:color="auto"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8" w:hRule="atLeast"/>
          <w:jc w:val="center"/>
        </w:trPr>
        <w:tc>
          <w:tcPr>
            <w:tcW w:w="2711" w:type="dxa"/>
            <w:gridSpan w:val="2"/>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涉诉案件类型：</w:t>
            </w:r>
          </w:p>
        </w:tc>
        <w:tc>
          <w:tcPr>
            <w:tcW w:w="6409" w:type="dxa"/>
            <w:gridSpan w:val="6"/>
            <w:tcBorders>
              <w:top w:val="nil"/>
              <w:left w:val="nil"/>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jc w:val="center"/>
            </w:pPr>
            <w:r>
              <w:rPr>
                <w:rFonts w:hint="eastAsia" w:ascii="宋体" w:hAnsi="宋体" w:cs="宋体"/>
                <w:sz w:val="22"/>
                <w:szCs w:val="22"/>
              </w:rPr>
              <w:t>□民事诉讼    □行政诉讼    □刑事诉讼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2711" w:type="dxa"/>
            <w:gridSpan w:val="2"/>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涉诉案件起止时间：</w:t>
            </w:r>
          </w:p>
        </w:tc>
        <w:tc>
          <w:tcPr>
            <w:tcW w:w="6409" w:type="dxa"/>
            <w:gridSpan w:val="6"/>
            <w:tcBorders>
              <w:top w:val="nil"/>
              <w:left w:val="nil"/>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jc w:val="center"/>
            </w:pPr>
            <w:r>
              <w:rPr>
                <w:rFonts w:hint="eastAsia" w:ascii="宋体" w:hAnsi="宋体" w:cs="宋体"/>
                <w:sz w:val="22"/>
                <w:szCs w:val="22"/>
              </w:rPr>
              <w:t>自  年    月   日起至  年   月    日止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2711" w:type="dxa"/>
            <w:gridSpan w:val="2"/>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涉诉案件概述</w:t>
            </w:r>
          </w:p>
        </w:tc>
        <w:tc>
          <w:tcPr>
            <w:tcW w:w="6409" w:type="dxa"/>
            <w:gridSpan w:val="6"/>
            <w:tcBorders>
              <w:top w:val="nil"/>
              <w:left w:val="nil"/>
              <w:bottom w:val="single" w:color="auto" w:sz="6" w:space="0"/>
              <w:right w:val="single" w:color="000000"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78" w:hRule="atLeast"/>
          <w:jc w:val="center"/>
        </w:trPr>
        <w:tc>
          <w:tcPr>
            <w:tcW w:w="2711" w:type="dxa"/>
            <w:gridSpan w:val="2"/>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案件起因</w:t>
            </w:r>
          </w:p>
        </w:tc>
        <w:tc>
          <w:tcPr>
            <w:tcW w:w="6409" w:type="dxa"/>
            <w:gridSpan w:val="6"/>
            <w:tcBorders>
              <w:top w:val="nil"/>
              <w:left w:val="nil"/>
              <w:bottom w:val="single" w:color="auto" w:sz="6" w:space="0"/>
              <w:right w:val="single" w:color="000000"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2711" w:type="dxa"/>
            <w:gridSpan w:val="2"/>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案件涉及的主要法律问题</w:t>
            </w:r>
          </w:p>
        </w:tc>
        <w:tc>
          <w:tcPr>
            <w:tcW w:w="6409" w:type="dxa"/>
            <w:gridSpan w:val="6"/>
            <w:tcBorders>
              <w:top w:val="nil"/>
              <w:left w:val="nil"/>
              <w:bottom w:val="single" w:color="auto" w:sz="6" w:space="0"/>
              <w:right w:val="single" w:color="000000"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8" w:hRule="atLeast"/>
          <w:jc w:val="center"/>
        </w:trPr>
        <w:tc>
          <w:tcPr>
            <w:tcW w:w="2711" w:type="dxa"/>
            <w:gridSpan w:val="2"/>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案件进展和预期结果</w:t>
            </w:r>
          </w:p>
        </w:tc>
        <w:tc>
          <w:tcPr>
            <w:tcW w:w="6409" w:type="dxa"/>
            <w:gridSpan w:val="6"/>
            <w:tcBorders>
              <w:top w:val="nil"/>
              <w:left w:val="nil"/>
              <w:bottom w:val="single" w:color="auto" w:sz="6" w:space="0"/>
              <w:right w:val="single" w:color="000000"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9120" w:type="dxa"/>
            <w:gridSpan w:val="8"/>
            <w:tcBorders>
              <w:top w:val="nil"/>
              <w:left w:val="single" w:color="auto" w:sz="6" w:space="0"/>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jc w:val="center"/>
            </w:pPr>
            <w:r>
              <w:rPr>
                <w:rFonts w:ascii="黑体" w:hAnsi="宋体" w:eastAsia="黑体" w:cs="黑体"/>
                <w:sz w:val="22"/>
                <w:szCs w:val="22"/>
              </w:rPr>
              <w:t>经济影响自评：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9120" w:type="dxa"/>
            <w:gridSpan w:val="8"/>
            <w:tcBorders>
              <w:top w:val="nil"/>
              <w:left w:val="single" w:color="auto" w:sz="6" w:space="0"/>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1.直接经济损失：</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5241" w:type="dxa"/>
            <w:gridSpan w:val="5"/>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  （1）诉讼费、律师费、公证费等费用支出</w:t>
            </w:r>
          </w:p>
        </w:tc>
        <w:tc>
          <w:tcPr>
            <w:tcW w:w="1276" w:type="dxa"/>
            <w:gridSpan w:val="2"/>
            <w:tcBorders>
              <w:top w:val="nil"/>
              <w:left w:val="nil"/>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jc w:val="right"/>
            </w:pPr>
            <w:r>
              <w:rPr>
                <w:rFonts w:hint="eastAsia" w:ascii="宋体" w:hAnsi="宋体" w:cs="宋体"/>
                <w:sz w:val="22"/>
                <w:szCs w:val="22"/>
              </w:rPr>
              <w:t>预计金额</w:t>
            </w:r>
          </w:p>
        </w:tc>
        <w:tc>
          <w:tcPr>
            <w:tcW w:w="2603" w:type="dxa"/>
            <w:tcBorders>
              <w:top w:val="nil"/>
              <w:left w:val="nil"/>
              <w:bottom w:val="single" w:color="auto" w:sz="6" w:space="0"/>
              <w:right w:val="single" w:color="auto"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5241" w:type="dxa"/>
            <w:gridSpan w:val="5"/>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  （2）因涉诉导致的业务停滞、订单取消等损失</w:t>
            </w:r>
          </w:p>
        </w:tc>
        <w:tc>
          <w:tcPr>
            <w:tcW w:w="1276" w:type="dxa"/>
            <w:gridSpan w:val="2"/>
            <w:tcBorders>
              <w:top w:val="nil"/>
              <w:left w:val="nil"/>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jc w:val="right"/>
            </w:pPr>
            <w:r>
              <w:rPr>
                <w:rFonts w:hint="eastAsia" w:ascii="宋体" w:hAnsi="宋体" w:cs="宋体"/>
                <w:sz w:val="22"/>
                <w:szCs w:val="22"/>
              </w:rPr>
              <w:t>预计金额</w:t>
            </w:r>
          </w:p>
        </w:tc>
        <w:tc>
          <w:tcPr>
            <w:tcW w:w="2603" w:type="dxa"/>
            <w:tcBorders>
              <w:top w:val="nil"/>
              <w:left w:val="nil"/>
              <w:bottom w:val="single" w:color="auto" w:sz="6" w:space="0"/>
              <w:right w:val="single" w:color="auto"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5241" w:type="dxa"/>
            <w:gridSpan w:val="5"/>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  （3）资产查封、冻结等导致的无法使用、收益损失</w:t>
            </w:r>
          </w:p>
        </w:tc>
        <w:tc>
          <w:tcPr>
            <w:tcW w:w="1276" w:type="dxa"/>
            <w:gridSpan w:val="2"/>
            <w:tcBorders>
              <w:top w:val="nil"/>
              <w:left w:val="nil"/>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jc w:val="right"/>
            </w:pPr>
            <w:r>
              <w:rPr>
                <w:rFonts w:hint="eastAsia" w:ascii="宋体" w:hAnsi="宋体" w:cs="宋体"/>
                <w:sz w:val="22"/>
                <w:szCs w:val="22"/>
              </w:rPr>
              <w:t>预计金额</w:t>
            </w:r>
          </w:p>
        </w:tc>
        <w:tc>
          <w:tcPr>
            <w:tcW w:w="2603" w:type="dxa"/>
            <w:tcBorders>
              <w:top w:val="nil"/>
              <w:left w:val="nil"/>
              <w:bottom w:val="single" w:color="auto" w:sz="6" w:space="0"/>
              <w:right w:val="single" w:color="auto"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9120" w:type="dxa"/>
            <w:gridSpan w:val="8"/>
            <w:tcBorders>
              <w:top w:val="nil"/>
              <w:left w:val="single" w:color="auto" w:sz="6" w:space="0"/>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2.间接经济损失：</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3390" w:type="dxa"/>
            <w:gridSpan w:val="3"/>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  （1）企业声誉受损导致的客户流失、合作伙伴解约等损失</w:t>
            </w:r>
          </w:p>
        </w:tc>
        <w:tc>
          <w:tcPr>
            <w:tcW w:w="1145" w:type="dxa"/>
            <w:tcBorders>
              <w:top w:val="nil"/>
              <w:left w:val="nil"/>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jc w:val="right"/>
            </w:pPr>
            <w:r>
              <w:rPr>
                <w:rFonts w:hint="eastAsia" w:ascii="宋体" w:hAnsi="宋体" w:cs="宋体"/>
                <w:sz w:val="22"/>
                <w:szCs w:val="22"/>
              </w:rPr>
              <w:t>预计金额</w:t>
            </w:r>
          </w:p>
        </w:tc>
        <w:tc>
          <w:tcPr>
            <w:tcW w:w="4585" w:type="dxa"/>
            <w:gridSpan w:val="4"/>
            <w:tcBorders>
              <w:top w:val="nil"/>
              <w:left w:val="nil"/>
              <w:bottom w:val="single" w:color="auto" w:sz="6" w:space="0"/>
              <w:right w:val="single" w:color="auto"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3390" w:type="dxa"/>
            <w:gridSpan w:val="3"/>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  （2）企业内部管理、运营受到影响导致的效率下降、成本增加等损失</w:t>
            </w:r>
          </w:p>
        </w:tc>
        <w:tc>
          <w:tcPr>
            <w:tcW w:w="1145" w:type="dxa"/>
            <w:tcBorders>
              <w:top w:val="nil"/>
              <w:left w:val="nil"/>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jc w:val="right"/>
            </w:pPr>
            <w:r>
              <w:rPr>
                <w:rFonts w:hint="eastAsia" w:ascii="宋体" w:hAnsi="宋体" w:cs="宋体"/>
                <w:sz w:val="22"/>
                <w:szCs w:val="22"/>
              </w:rPr>
              <w:t>预计金额</w:t>
            </w:r>
          </w:p>
        </w:tc>
        <w:tc>
          <w:tcPr>
            <w:tcW w:w="4585" w:type="dxa"/>
            <w:gridSpan w:val="4"/>
            <w:tcBorders>
              <w:top w:val="nil"/>
              <w:left w:val="nil"/>
              <w:bottom w:val="single" w:color="auto" w:sz="6" w:space="0"/>
              <w:right w:val="single" w:color="auto"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98" w:hRule="atLeast"/>
          <w:jc w:val="center"/>
        </w:trPr>
        <w:tc>
          <w:tcPr>
            <w:tcW w:w="3390" w:type="dxa"/>
            <w:gridSpan w:val="3"/>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  （3）其他间接经济损失</w:t>
            </w:r>
          </w:p>
        </w:tc>
        <w:tc>
          <w:tcPr>
            <w:tcW w:w="1145" w:type="dxa"/>
            <w:tcBorders>
              <w:top w:val="nil"/>
              <w:left w:val="nil"/>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jc w:val="right"/>
            </w:pPr>
            <w:r>
              <w:rPr>
                <w:rFonts w:hint="eastAsia" w:ascii="宋体" w:hAnsi="宋体" w:cs="宋体"/>
                <w:sz w:val="22"/>
                <w:szCs w:val="22"/>
              </w:rPr>
              <w:t>预计金额</w:t>
            </w:r>
          </w:p>
        </w:tc>
        <w:tc>
          <w:tcPr>
            <w:tcW w:w="4585" w:type="dxa"/>
            <w:gridSpan w:val="4"/>
            <w:tcBorders>
              <w:top w:val="nil"/>
              <w:left w:val="nil"/>
              <w:bottom w:val="single" w:color="auto" w:sz="6" w:space="0"/>
              <w:right w:val="single" w:color="auto"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9120" w:type="dxa"/>
            <w:gridSpan w:val="8"/>
            <w:tcBorders>
              <w:top w:val="nil"/>
              <w:left w:val="single" w:color="auto" w:sz="6" w:space="0"/>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3.对企业未来发展的影响：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4535" w:type="dxa"/>
            <w:gridSpan w:val="4"/>
            <w:tcBorders>
              <w:top w:val="nil"/>
              <w:left w:val="single" w:color="auto" w:sz="6" w:space="0"/>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（1）对企业战略规划、市场拓展等方面的影响</w:t>
            </w:r>
          </w:p>
        </w:tc>
        <w:tc>
          <w:tcPr>
            <w:tcW w:w="4585" w:type="dxa"/>
            <w:gridSpan w:val="4"/>
            <w:tcBorders>
              <w:top w:val="single" w:color="auto" w:sz="6" w:space="0"/>
              <w:left w:val="nil"/>
              <w:bottom w:val="single" w:color="auto" w:sz="6" w:space="0"/>
              <w:right w:val="single" w:color="000000"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8" w:hRule="atLeast"/>
          <w:jc w:val="center"/>
        </w:trPr>
        <w:tc>
          <w:tcPr>
            <w:tcW w:w="4535" w:type="dxa"/>
            <w:gridSpan w:val="4"/>
            <w:tcBorders>
              <w:top w:val="nil"/>
              <w:left w:val="single" w:color="auto" w:sz="6" w:space="0"/>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（2）对企业融资、投资等方面的影响</w:t>
            </w:r>
          </w:p>
        </w:tc>
        <w:tc>
          <w:tcPr>
            <w:tcW w:w="4585" w:type="dxa"/>
            <w:gridSpan w:val="4"/>
            <w:tcBorders>
              <w:top w:val="nil"/>
              <w:left w:val="nil"/>
              <w:bottom w:val="single" w:color="auto" w:sz="6" w:space="0"/>
              <w:right w:val="single" w:color="000000"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4535" w:type="dxa"/>
            <w:gridSpan w:val="4"/>
            <w:tcBorders>
              <w:top w:val="nil"/>
              <w:left w:val="single" w:color="auto" w:sz="6" w:space="0"/>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（3）其他对企业未来发展的影响</w:t>
            </w:r>
          </w:p>
        </w:tc>
        <w:tc>
          <w:tcPr>
            <w:tcW w:w="4585" w:type="dxa"/>
            <w:gridSpan w:val="4"/>
            <w:tcBorders>
              <w:top w:val="nil"/>
              <w:left w:val="nil"/>
              <w:bottom w:val="single" w:color="auto" w:sz="6" w:space="0"/>
              <w:right w:val="single" w:color="000000"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9120" w:type="dxa"/>
            <w:gridSpan w:val="8"/>
            <w:tcBorders>
              <w:top w:val="nil"/>
              <w:left w:val="single" w:color="auto" w:sz="6" w:space="0"/>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jc w:val="center"/>
            </w:pPr>
            <w:r>
              <w:rPr>
                <w:rFonts w:hint="eastAsia" w:ascii="黑体" w:hAnsi="宋体" w:eastAsia="黑体" w:cs="黑体"/>
                <w:sz w:val="22"/>
                <w:szCs w:val="22"/>
              </w:rPr>
              <w:t>应对措施及建议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2508" w:type="dxa"/>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1.已采取的应对措施：</w:t>
            </w:r>
          </w:p>
        </w:tc>
        <w:tc>
          <w:tcPr>
            <w:tcW w:w="6612" w:type="dxa"/>
            <w:gridSpan w:val="7"/>
            <w:tcBorders>
              <w:top w:val="single" w:color="auto" w:sz="6" w:space="0"/>
              <w:left w:val="nil"/>
              <w:bottom w:val="single" w:color="auto" w:sz="6" w:space="0"/>
              <w:right w:val="single" w:color="000000"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8" w:hRule="atLeast"/>
          <w:jc w:val="center"/>
        </w:trPr>
        <w:tc>
          <w:tcPr>
            <w:tcW w:w="2508" w:type="dxa"/>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2.建议采取的进一步措施：</w:t>
            </w:r>
          </w:p>
        </w:tc>
        <w:tc>
          <w:tcPr>
            <w:tcW w:w="6612" w:type="dxa"/>
            <w:gridSpan w:val="7"/>
            <w:tcBorders>
              <w:top w:val="nil"/>
              <w:left w:val="nil"/>
              <w:bottom w:val="single" w:color="auto" w:sz="6" w:space="0"/>
              <w:right w:val="single" w:color="000000"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37" w:hRule="atLeast"/>
          <w:jc w:val="center"/>
        </w:trPr>
        <w:tc>
          <w:tcPr>
            <w:tcW w:w="2508" w:type="dxa"/>
            <w:tcBorders>
              <w:top w:val="nil"/>
              <w:left w:val="single" w:color="auto" w:sz="6" w:space="0"/>
              <w:bottom w:val="single" w:color="auto" w:sz="6" w:space="0"/>
              <w:right w:val="single" w:color="auto" w:sz="6" w:space="0"/>
            </w:tcBorders>
            <w:tcMar>
              <w:left w:w="105" w:type="dxa"/>
              <w:right w:w="105" w:type="dxa"/>
            </w:tcMar>
            <w:vAlign w:val="center"/>
          </w:tcPr>
          <w:p>
            <w:pPr>
              <w:pStyle w:val="4"/>
              <w:widowControl/>
              <w:spacing w:before="0" w:beforeAutospacing="0" w:after="0" w:afterAutospacing="0" w:line="560" w:lineRule="exact"/>
            </w:pPr>
            <w:r>
              <w:rPr>
                <w:rStyle w:val="7"/>
                <w:rFonts w:hint="eastAsia" w:ascii="宋体" w:hAnsi="宋体" w:cs="宋体"/>
                <w:b w:val="0"/>
                <w:bCs w:val="0"/>
                <w:sz w:val="22"/>
                <w:szCs w:val="22"/>
              </w:rPr>
              <w:t>需要说明的重要事项：</w:t>
            </w:r>
          </w:p>
        </w:tc>
        <w:tc>
          <w:tcPr>
            <w:tcW w:w="6612" w:type="dxa"/>
            <w:gridSpan w:val="7"/>
            <w:tcBorders>
              <w:top w:val="nil"/>
              <w:left w:val="nil"/>
              <w:bottom w:val="single" w:color="auto" w:sz="6" w:space="0"/>
              <w:right w:val="single" w:color="000000" w:sz="6" w:space="0"/>
            </w:tcBorders>
            <w:tcMar>
              <w:left w:w="105"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38" w:hRule="atLeast"/>
          <w:jc w:val="center"/>
        </w:trPr>
        <w:tc>
          <w:tcPr>
            <w:tcW w:w="9120" w:type="dxa"/>
            <w:gridSpan w:val="8"/>
            <w:tcBorders>
              <w:top w:val="nil"/>
              <w:left w:val="single" w:color="auto" w:sz="6" w:space="0"/>
              <w:bottom w:val="single" w:color="auto" w:sz="6" w:space="0"/>
              <w:right w:val="single" w:color="000000" w:sz="6" w:space="0"/>
            </w:tcBorders>
            <w:tcMar>
              <w:left w:w="105" w:type="dxa"/>
              <w:right w:w="105" w:type="dxa"/>
            </w:tcMar>
            <w:vAlign w:val="center"/>
          </w:tcPr>
          <w:p>
            <w:pPr>
              <w:pStyle w:val="4"/>
              <w:widowControl/>
              <w:spacing w:before="0" w:beforeAutospacing="0" w:after="0" w:afterAutospacing="0" w:line="560" w:lineRule="exact"/>
              <w:jc w:val="center"/>
            </w:pPr>
            <w:r>
              <w:rPr>
                <w:rFonts w:hint="eastAsia" w:ascii="黑体" w:hAnsi="宋体" w:eastAsia="黑体" w:cs="黑体"/>
                <w:sz w:val="22"/>
                <w:szCs w:val="22"/>
              </w:rPr>
              <w:t>自评结论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64" w:hRule="atLeast"/>
          <w:jc w:val="center"/>
        </w:trPr>
        <w:tc>
          <w:tcPr>
            <w:tcW w:w="9120" w:type="dxa"/>
            <w:gridSpan w:val="8"/>
            <w:tcBorders>
              <w:top w:val="nil"/>
              <w:left w:val="single" w:color="auto" w:sz="6" w:space="0"/>
              <w:bottom w:val="single" w:color="auto" w:sz="6" w:space="0"/>
              <w:right w:val="single" w:color="000000" w:sz="6" w:space="0"/>
            </w:tcBorders>
            <w:tcMar>
              <w:left w:w="105" w:type="dxa"/>
              <w:right w:w="105" w:type="dxa"/>
            </w:tcMar>
          </w:tcPr>
          <w:p>
            <w:pPr>
              <w:pStyle w:val="4"/>
              <w:widowControl/>
              <w:spacing w:before="0" w:beforeAutospacing="0" w:after="0" w:afterAutospacing="0" w:line="560" w:lineRule="exact"/>
            </w:pPr>
            <w:r>
              <w:rPr>
                <w:rFonts w:hint="eastAsia" w:ascii="宋体" w:hAnsi="宋体" w:cs="宋体"/>
                <w:sz w:val="22"/>
                <w:szCs w:val="22"/>
              </w:rPr>
              <w:t> </w:t>
            </w:r>
            <w:r>
              <w:rPr>
                <w:rFonts w:hint="eastAsia" w:ascii="宋体" w:hAnsi="宋体" w:cs="宋体"/>
                <w:sz w:val="22"/>
                <w:szCs w:val="22"/>
              </w:rPr>
              <w:br w:type="textWrapping"/>
            </w:r>
            <w:r>
              <w:rPr>
                <w:rFonts w:hint="eastAsia" w:ascii="宋体" w:hAnsi="宋体" w:cs="宋体"/>
                <w:sz w:val="22"/>
                <w:szCs w:val="22"/>
              </w:rPr>
              <w:t>   经自评，涉诉案件对企业经济影响的总体程度为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7" w:hRule="atLeast"/>
          <w:jc w:val="center"/>
        </w:trPr>
        <w:tc>
          <w:tcPr>
            <w:tcW w:w="9120" w:type="dxa"/>
            <w:gridSpan w:val="8"/>
            <w:tcBorders>
              <w:top w:val="nil"/>
              <w:left w:val="nil"/>
              <w:bottom w:val="nil"/>
              <w:right w:val="nil"/>
            </w:tcBorders>
            <w:tcMar>
              <w:left w:w="105" w:type="dxa"/>
              <w:right w:w="105" w:type="dxa"/>
            </w:tcMar>
            <w:vAlign w:val="center"/>
          </w:tcPr>
          <w:p>
            <w:pPr>
              <w:pStyle w:val="4"/>
              <w:widowControl/>
              <w:spacing w:before="0" w:beforeAutospacing="0" w:after="0" w:afterAutospacing="0" w:line="560" w:lineRule="exact"/>
            </w:pPr>
            <w:r>
              <w:rPr>
                <w:rFonts w:hint="eastAsia" w:ascii="宋体" w:hAnsi="宋体" w:cs="宋体"/>
                <w:sz w:val="22"/>
                <w:szCs w:val="22"/>
              </w:rPr>
              <w:t>注：本自评表仅供企业自行评估涉诉案件对企业经济的影响使用，不作为法律意见或建议，请在自评的过程中提供相应的佐证材料供法院参考，未提供相应佐证材料的法院将根据案情酌定考量。</w:t>
            </w:r>
          </w:p>
        </w:tc>
      </w:tr>
    </w:tbl>
    <w:p>
      <w:pPr>
        <w:adjustRightInd/>
        <w:snapToGrid/>
        <w:spacing w:line="220" w:lineRule="atLeast"/>
        <w:rPr>
          <w:rFonts w:ascii="仿宋_GB2312" w:hAnsi="Times New Roman" w:eastAsia="仿宋_GB2312" w:cs="仿宋_GB2312"/>
          <w:sz w:val="31"/>
          <w:szCs w:val="31"/>
        </w:rPr>
      </w:pPr>
      <w:r>
        <w:rPr>
          <w:rFonts w:ascii="仿宋_GB2312" w:eastAsia="仿宋_GB2312" w:cs="仿宋_GB2312"/>
          <w:sz w:val="31"/>
          <w:szCs w:val="31"/>
        </w:rPr>
        <w:br w:type="page"/>
      </w:r>
    </w:p>
    <w:p>
      <w:pPr>
        <w:pStyle w:val="4"/>
        <w:widowControl/>
        <w:spacing w:before="0" w:beforeAutospacing="0" w:after="0" w:afterAutospacing="0" w:line="560" w:lineRule="exact"/>
      </w:pPr>
      <w:r>
        <w:rPr>
          <w:rFonts w:ascii="仿宋_GB2312" w:eastAsia="仿宋_GB2312" w:cs="仿宋_GB2312"/>
          <w:sz w:val="31"/>
          <w:szCs w:val="31"/>
        </w:rPr>
        <w:t>附件</w:t>
      </w:r>
      <w:r>
        <w:rPr>
          <w:rFonts w:eastAsia="仿宋_GB2312"/>
          <w:sz w:val="31"/>
          <w:szCs w:val="31"/>
        </w:rPr>
        <w:t>4</w:t>
      </w:r>
    </w:p>
    <w:p>
      <w:pPr>
        <w:pStyle w:val="4"/>
        <w:widowControl/>
        <w:spacing w:before="0" w:beforeAutospacing="0" w:after="0" w:afterAutospacing="0" w:line="560" w:lineRule="exact"/>
        <w:jc w:val="center"/>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z w:val="43"/>
          <w:szCs w:val="43"/>
        </w:rPr>
        <w:t>涉企案件经济影响评估表</w:t>
      </w:r>
    </w:p>
    <w:p>
      <w:pPr>
        <w:pStyle w:val="4"/>
        <w:widowControl/>
        <w:spacing w:before="0" w:beforeAutospacing="0" w:after="0" w:afterAutospacing="0" w:line="560" w:lineRule="exact"/>
        <w:jc w:val="center"/>
      </w:pPr>
    </w:p>
    <w:tbl>
      <w:tblPr>
        <w:tblStyle w:val="5"/>
        <w:tblW w:w="921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1415"/>
        <w:gridCol w:w="1663"/>
        <w:gridCol w:w="1415"/>
        <w:gridCol w:w="1228"/>
        <w:gridCol w:w="349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34" w:hRule="atLeast"/>
          <w:jc w:val="center"/>
        </w:trPr>
        <w:tc>
          <w:tcPr>
            <w:tcW w:w="1415" w:type="dxa"/>
            <w:tcBorders>
              <w:top w:val="single" w:color="auto" w:sz="6" w:space="0"/>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案由</w:t>
            </w:r>
          </w:p>
        </w:tc>
        <w:tc>
          <w:tcPr>
            <w:tcW w:w="3078" w:type="dxa"/>
            <w:gridSpan w:val="2"/>
            <w:tcBorders>
              <w:top w:val="single" w:color="auto" w:sz="6" w:space="0"/>
              <w:left w:val="single" w:color="auto" w:sz="6" w:space="0"/>
              <w:bottom w:val="single" w:color="auto" w:sz="6" w:space="0"/>
              <w:right w:val="single" w:color="auto" w:sz="6" w:space="0"/>
            </w:tcBorders>
            <w:tcMar>
              <w:top w:w="30" w:type="dxa"/>
              <w:left w:w="105" w:type="dxa"/>
              <w:bottom w:w="30" w:type="dxa"/>
              <w:right w:w="105" w:type="dxa"/>
            </w:tcMar>
            <w:vAlign w:val="center"/>
          </w:tcPr>
          <w:p>
            <w:pPr>
              <w:adjustRightInd/>
              <w:snapToGrid/>
              <w:spacing w:line="560" w:lineRule="exact"/>
            </w:pPr>
          </w:p>
        </w:tc>
        <w:tc>
          <w:tcPr>
            <w:tcW w:w="1228" w:type="dxa"/>
            <w:tcBorders>
              <w:top w:val="single" w:color="auto" w:sz="6" w:space="0"/>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案号</w:t>
            </w:r>
          </w:p>
        </w:tc>
        <w:tc>
          <w:tcPr>
            <w:tcW w:w="3498" w:type="dxa"/>
            <w:tcBorders>
              <w:top w:val="single" w:color="auto" w:sz="6" w:space="0"/>
              <w:left w:val="single" w:color="auto" w:sz="6" w:space="0"/>
              <w:bottom w:val="single" w:color="auto" w:sz="6" w:space="0"/>
              <w:right w:val="single" w:color="auto" w:sz="6" w:space="0"/>
            </w:tcBorders>
            <w:tcMar>
              <w:top w:w="30" w:type="dxa"/>
              <w:left w:w="105" w:type="dxa"/>
              <w:bottom w:w="30" w:type="dxa"/>
              <w:right w:w="105" w:type="dxa"/>
            </w:tcMar>
            <w:vAlign w:val="cente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3" w:hRule="atLeast"/>
          <w:jc w:val="center"/>
        </w:trPr>
        <w:tc>
          <w:tcPr>
            <w:tcW w:w="1415" w:type="dxa"/>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当事人的基本信息</w:t>
            </w:r>
          </w:p>
        </w:tc>
        <w:tc>
          <w:tcPr>
            <w:tcW w:w="7804" w:type="dxa"/>
            <w:gridSpan w:val="4"/>
            <w:tcBorders>
              <w:top w:val="nil"/>
              <w:left w:val="single" w:color="auto" w:sz="6" w:space="0"/>
              <w:bottom w:val="single" w:color="auto" w:sz="6" w:space="0"/>
              <w:right w:val="single" w:color="auto" w:sz="6" w:space="0"/>
            </w:tcBorders>
            <w:tcMar>
              <w:top w:w="30" w:type="dxa"/>
              <w:left w:w="105" w:type="dxa"/>
              <w:bottom w:w="30" w:type="dxa"/>
              <w:right w:w="105" w:type="dxa"/>
            </w:tcMa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9" w:hRule="atLeast"/>
          <w:jc w:val="center"/>
        </w:trPr>
        <w:tc>
          <w:tcPr>
            <w:tcW w:w="1415" w:type="dxa"/>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蓝色等级</w:t>
            </w:r>
          </w:p>
        </w:tc>
        <w:tc>
          <w:tcPr>
            <w:tcW w:w="7804" w:type="dxa"/>
            <w:gridSpan w:val="4"/>
            <w:vMerge w:val="restart"/>
            <w:tcBorders>
              <w:top w:val="nil"/>
              <w:left w:val="single" w:color="auto" w:sz="6" w:space="0"/>
              <w:bottom w:val="single" w:color="auto" w:sz="6" w:space="0"/>
              <w:right w:val="single" w:color="auto" w:sz="6" w:space="0"/>
            </w:tcBorders>
            <w:tcMar>
              <w:top w:w="30" w:type="dxa"/>
              <w:left w:w="105" w:type="dxa"/>
              <w:bottom w:w="30" w:type="dxa"/>
              <w:right w:w="105" w:type="dxa"/>
            </w:tcMar>
          </w:tcPr>
          <w:p>
            <w:pPr>
              <w:pStyle w:val="4"/>
              <w:widowControl/>
              <w:spacing w:before="0" w:beforeAutospacing="0" w:after="0" w:afterAutospacing="0" w:line="320" w:lineRule="exact"/>
              <w:rPr>
                <w:sz w:val="21"/>
                <w:szCs w:val="21"/>
              </w:rPr>
            </w:pPr>
            <w:r>
              <w:rPr>
                <w:rFonts w:hint="eastAsia" w:ascii="宋体" w:hAnsi="宋体" w:cs="宋体"/>
                <w:sz w:val="21"/>
                <w:szCs w:val="21"/>
              </w:rPr>
              <w:t>填写案件相关事实及认定理由。</w:t>
            </w:r>
          </w:p>
          <w:p>
            <w:pPr>
              <w:pStyle w:val="4"/>
              <w:widowControl/>
              <w:spacing w:before="0" w:beforeAutospacing="0" w:after="0" w:afterAutospacing="0" w:line="320" w:lineRule="exact"/>
            </w:pPr>
            <w:r>
              <w:rPr>
                <w:rFonts w:hint="eastAsia" w:ascii="宋体" w:hAnsi="宋体" w:cs="宋体"/>
                <w:sz w:val="21"/>
                <w:szCs w:val="21"/>
              </w:rPr>
              <w:t>（示例）经评估各方自评意见，并审查佐证材料，本案标的额较大、双方均投入大量人力成本，案件处理结果会对双方企业的生产经营带来一定影响，但考虑到双方均为大型企业，注册资本均过亿，工作人员超过</w:t>
            </w:r>
            <w:r>
              <w:rPr>
                <w:rFonts w:ascii="Calibri" w:hAnsi="Calibri" w:cs="Calibri"/>
                <w:sz w:val="21"/>
                <w:szCs w:val="21"/>
              </w:rPr>
              <w:t>1000</w:t>
            </w:r>
            <w:r>
              <w:rPr>
                <w:rFonts w:hint="eastAsia" w:ascii="宋体" w:hAnsi="宋体" w:cs="宋体"/>
                <w:sz w:val="21"/>
                <w:szCs w:val="21"/>
              </w:rPr>
              <w:t>人，综合认定本案对企业的资金周转经济影响为较小影响，评估等级为蓝色等级。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1415" w:type="dxa"/>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黄色等级</w:t>
            </w:r>
          </w:p>
        </w:tc>
        <w:tc>
          <w:tcPr>
            <w:tcW w:w="7804" w:type="dxa"/>
            <w:gridSpan w:val="4"/>
            <w:vMerge w:val="continue"/>
            <w:tcBorders>
              <w:top w:val="nil"/>
              <w:left w:val="single" w:color="auto" w:sz="6" w:space="0"/>
              <w:bottom w:val="single" w:color="auto" w:sz="6" w:space="0"/>
              <w:right w:val="single" w:color="auto" w:sz="6" w:space="0"/>
            </w:tcBorders>
            <w:tcMar>
              <w:top w:w="30" w:type="dxa"/>
              <w:left w:w="105" w:type="dxa"/>
              <w:bottom w:w="30" w:type="dxa"/>
              <w:right w:w="105" w:type="dxa"/>
            </w:tcMar>
          </w:tcPr>
          <w:p>
            <w:pPr>
              <w:adjustRightInd/>
              <w:snapToGrid/>
              <w:spacing w:line="560" w:lineRule="exact"/>
              <w:rPr>
                <w:rFonts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1415" w:type="dxa"/>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红色等级</w:t>
            </w:r>
          </w:p>
        </w:tc>
        <w:tc>
          <w:tcPr>
            <w:tcW w:w="7804" w:type="dxa"/>
            <w:gridSpan w:val="4"/>
            <w:vMerge w:val="continue"/>
            <w:tcBorders>
              <w:top w:val="nil"/>
              <w:left w:val="single" w:color="auto" w:sz="6" w:space="0"/>
              <w:bottom w:val="single" w:color="auto" w:sz="6" w:space="0"/>
              <w:right w:val="single" w:color="auto" w:sz="6" w:space="0"/>
            </w:tcBorders>
            <w:tcMar>
              <w:top w:w="30" w:type="dxa"/>
              <w:left w:w="105" w:type="dxa"/>
              <w:bottom w:w="30" w:type="dxa"/>
              <w:right w:w="105" w:type="dxa"/>
            </w:tcMar>
          </w:tcPr>
          <w:p>
            <w:pPr>
              <w:adjustRightInd/>
              <w:snapToGrid/>
              <w:spacing w:line="560" w:lineRule="exact"/>
              <w:rPr>
                <w:rFonts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jc w:val="center"/>
        </w:trPr>
        <w:tc>
          <w:tcPr>
            <w:tcW w:w="1415" w:type="dxa"/>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应对措施</w:t>
            </w:r>
          </w:p>
        </w:tc>
        <w:tc>
          <w:tcPr>
            <w:tcW w:w="7804" w:type="dxa"/>
            <w:gridSpan w:val="4"/>
            <w:tcBorders>
              <w:top w:val="nil"/>
              <w:left w:val="single" w:color="auto" w:sz="6" w:space="0"/>
              <w:bottom w:val="single" w:color="auto" w:sz="6" w:space="0"/>
              <w:right w:val="single" w:color="auto" w:sz="6" w:space="0"/>
            </w:tcBorders>
            <w:tcMar>
              <w:top w:w="30" w:type="dxa"/>
              <w:left w:w="105" w:type="dxa"/>
              <w:bottom w:w="30" w:type="dxa"/>
              <w:right w:w="105" w:type="dxa"/>
            </w:tcMar>
          </w:tcPr>
          <w:p>
            <w:pPr>
              <w:pStyle w:val="4"/>
              <w:widowControl/>
              <w:spacing w:before="0" w:beforeAutospacing="0" w:after="0" w:afterAutospacing="0" w:line="320" w:lineRule="exact"/>
              <w:rPr>
                <w:sz w:val="21"/>
                <w:szCs w:val="21"/>
              </w:rPr>
            </w:pPr>
            <w:r>
              <w:rPr>
                <w:rFonts w:hint="eastAsia" w:ascii="宋体" w:hAnsi="宋体" w:cs="宋体"/>
                <w:sz w:val="21"/>
                <w:szCs w:val="21"/>
              </w:rPr>
              <w:t>从快速立案、审慎保全、优先审理、破产重整、高效执行、信用修复等方面写明具体应对措施。</w:t>
            </w:r>
          </w:p>
          <w:p>
            <w:pPr>
              <w:pStyle w:val="4"/>
              <w:widowControl/>
              <w:spacing w:before="0" w:beforeAutospacing="0" w:after="0" w:afterAutospacing="0" w:line="320" w:lineRule="exact"/>
            </w:pPr>
            <w:r>
              <w:rPr>
                <w:rFonts w:hint="eastAsia" w:ascii="宋体" w:hAnsi="宋体" w:cs="宋体"/>
                <w:sz w:val="21"/>
                <w:szCs w:val="21"/>
              </w:rPr>
              <w:t>（示例）本案已优先安排在立案后一个月内开庭审理，开庭前安排一次庭前会议，安排双方当事人交换证据、庭前调解。如调解未成功，争取在开庭后一个月内审理完毕。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9" w:hRule="atLeast"/>
          <w:jc w:val="center"/>
        </w:trPr>
        <w:tc>
          <w:tcPr>
            <w:tcW w:w="1415" w:type="dxa"/>
            <w:vMerge w:val="restart"/>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审批意见</w:t>
            </w:r>
          </w:p>
        </w:tc>
        <w:tc>
          <w:tcPr>
            <w:tcW w:w="1663" w:type="dxa"/>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部门负责人</w:t>
            </w:r>
          </w:p>
        </w:tc>
        <w:tc>
          <w:tcPr>
            <w:tcW w:w="6141" w:type="dxa"/>
            <w:gridSpan w:val="3"/>
            <w:tcBorders>
              <w:top w:val="single" w:color="auto" w:sz="6" w:space="0"/>
              <w:left w:val="single" w:color="auto" w:sz="6" w:space="0"/>
              <w:bottom w:val="single" w:color="auto" w:sz="6" w:space="0"/>
              <w:right w:val="single" w:color="auto" w:sz="6" w:space="0"/>
            </w:tcBorders>
            <w:tcMar>
              <w:top w:w="30" w:type="dxa"/>
              <w:left w:w="105" w:type="dxa"/>
              <w:bottom w:w="30" w:type="dxa"/>
              <w:right w:w="105" w:type="dxa"/>
            </w:tcMa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1415" w:type="dxa"/>
            <w:vMerge w:val="continue"/>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adjustRightInd/>
              <w:snapToGrid/>
              <w:spacing w:line="560" w:lineRule="exact"/>
              <w:rPr>
                <w:rFonts w:ascii="宋体"/>
                <w:sz w:val="24"/>
                <w:szCs w:val="24"/>
              </w:rPr>
            </w:pPr>
          </w:p>
        </w:tc>
        <w:tc>
          <w:tcPr>
            <w:tcW w:w="1663" w:type="dxa"/>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分管院领导</w:t>
            </w:r>
          </w:p>
        </w:tc>
        <w:tc>
          <w:tcPr>
            <w:tcW w:w="6141" w:type="dxa"/>
            <w:gridSpan w:val="3"/>
            <w:tcBorders>
              <w:top w:val="nil"/>
              <w:left w:val="single" w:color="auto" w:sz="6" w:space="0"/>
              <w:bottom w:val="single" w:color="auto" w:sz="6" w:space="0"/>
              <w:right w:val="single" w:color="auto" w:sz="6" w:space="0"/>
            </w:tcBorders>
            <w:tcMar>
              <w:top w:w="30" w:type="dxa"/>
              <w:left w:w="105" w:type="dxa"/>
              <w:bottom w:w="30" w:type="dxa"/>
              <w:right w:w="105" w:type="dxa"/>
            </w:tcMa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1415" w:type="dxa"/>
            <w:vMerge w:val="continue"/>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adjustRightInd/>
              <w:snapToGrid/>
              <w:spacing w:line="560" w:lineRule="exact"/>
              <w:rPr>
                <w:rFonts w:ascii="宋体"/>
                <w:sz w:val="24"/>
                <w:szCs w:val="24"/>
              </w:rPr>
            </w:pPr>
          </w:p>
        </w:tc>
        <w:tc>
          <w:tcPr>
            <w:tcW w:w="1663" w:type="dxa"/>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院长</w:t>
            </w:r>
          </w:p>
        </w:tc>
        <w:tc>
          <w:tcPr>
            <w:tcW w:w="6141" w:type="dxa"/>
            <w:gridSpan w:val="3"/>
            <w:tcBorders>
              <w:top w:val="nil"/>
              <w:left w:val="single" w:color="auto" w:sz="6" w:space="0"/>
              <w:bottom w:val="single" w:color="auto" w:sz="6" w:space="0"/>
              <w:right w:val="single" w:color="auto" w:sz="6" w:space="0"/>
            </w:tcBorders>
            <w:tcMar>
              <w:top w:w="30" w:type="dxa"/>
              <w:left w:w="105" w:type="dxa"/>
              <w:bottom w:w="30" w:type="dxa"/>
              <w:right w:w="105" w:type="dxa"/>
            </w:tcMar>
          </w:tcPr>
          <w:p>
            <w:pPr>
              <w:adjustRightInd/>
              <w:snapToGrid/>
              <w:spacing w:line="560" w:lineRule="exac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6" w:hRule="atLeast"/>
          <w:jc w:val="center"/>
        </w:trPr>
        <w:tc>
          <w:tcPr>
            <w:tcW w:w="1415" w:type="dxa"/>
            <w:tcBorders>
              <w:top w:val="nil"/>
              <w:left w:val="single" w:color="auto" w:sz="6" w:space="0"/>
              <w:bottom w:val="single" w:color="auto" w:sz="6" w:space="0"/>
              <w:right w:val="single" w:color="auto" w:sz="6" w:space="0"/>
            </w:tcBorders>
            <w:tcMar>
              <w:top w:w="30" w:type="dxa"/>
              <w:left w:w="105" w:type="dxa"/>
              <w:bottom w:w="30" w:type="dxa"/>
              <w:right w:w="105" w:type="dxa"/>
            </w:tcMar>
            <w:vAlign w:val="center"/>
          </w:tcPr>
          <w:p>
            <w:pPr>
              <w:pStyle w:val="4"/>
              <w:widowControl/>
              <w:spacing w:before="0" w:beforeAutospacing="0" w:after="0" w:afterAutospacing="0" w:line="560" w:lineRule="exact"/>
              <w:jc w:val="center"/>
            </w:pPr>
            <w:r>
              <w:rPr>
                <w:rFonts w:hint="eastAsia" w:ascii="宋体" w:hAnsi="宋体" w:cs="宋体"/>
              </w:rPr>
              <w:t>处理结果</w:t>
            </w:r>
          </w:p>
        </w:tc>
        <w:tc>
          <w:tcPr>
            <w:tcW w:w="7804" w:type="dxa"/>
            <w:gridSpan w:val="4"/>
            <w:tcBorders>
              <w:top w:val="nil"/>
              <w:left w:val="single" w:color="auto" w:sz="6" w:space="0"/>
              <w:bottom w:val="single" w:color="auto" w:sz="6" w:space="0"/>
              <w:right w:val="single" w:color="auto" w:sz="6" w:space="0"/>
            </w:tcBorders>
            <w:tcMar>
              <w:top w:w="30" w:type="dxa"/>
              <w:left w:w="105" w:type="dxa"/>
              <w:bottom w:w="30" w:type="dxa"/>
              <w:right w:w="105" w:type="dxa"/>
            </w:tcMar>
          </w:tcPr>
          <w:p>
            <w:pPr>
              <w:pStyle w:val="4"/>
              <w:widowControl/>
              <w:spacing w:before="0" w:beforeAutospacing="0" w:after="0" w:afterAutospacing="0" w:line="320" w:lineRule="exact"/>
            </w:pPr>
            <w:r>
              <w:rPr>
                <w:rFonts w:hint="eastAsia" w:ascii="宋体" w:hAnsi="宋体" w:cs="宋体"/>
              </w:rPr>
              <w:t>（示例）本案经法官主持庭前会议，双方达成调解协议，后续将继续跟进，督促被告按协议约定及时履行付款义务。</w:t>
            </w:r>
          </w:p>
        </w:tc>
      </w:tr>
    </w:tbl>
    <w:p>
      <w:pPr>
        <w:pStyle w:val="4"/>
        <w:widowControl/>
        <w:spacing w:before="0" w:beforeAutospacing="0" w:after="0" w:afterAutospacing="0" w:line="560" w:lineRule="exact"/>
        <w:rPr>
          <w:rFonts w:ascii="方正小标宋简体" w:hAnsi="方正小标宋简体" w:eastAsia="方正小标宋简体" w:cs="方正小标宋简体"/>
          <w:sz w:val="44"/>
          <w:szCs w:val="44"/>
        </w:rPr>
      </w:pPr>
      <w:r>
        <w:rPr>
          <w:rFonts w:ascii="楷体" w:hAnsi="楷体" w:eastAsia="楷体" w:cs="楷体"/>
        </w:rPr>
        <w:t>备注</w:t>
      </w:r>
      <w:r>
        <w:rPr>
          <w:rFonts w:hint="eastAsia" w:ascii="楷体" w:hAnsi="楷体" w:eastAsia="楷体" w:cs="楷体"/>
        </w:rPr>
        <w:t>：</w:t>
      </w:r>
      <w:r>
        <w:rPr>
          <w:rFonts w:ascii="Calibri" w:hAnsi="Calibri" w:cs="Calibri"/>
        </w:rPr>
        <w:t>1.</w:t>
      </w:r>
      <w:r>
        <w:rPr>
          <w:rFonts w:hint="eastAsia" w:ascii="楷体" w:hAnsi="楷体" w:eastAsia="楷体" w:cs="楷体"/>
        </w:rPr>
        <w:t>案件经济影响评级分为较小影响（蓝色等级）、较大影响（黄色等级）、严重影响（红色等级），分别由庭长、分管院长和院长进行审批；</w:t>
      </w:r>
      <w:r>
        <w:rPr>
          <w:rFonts w:ascii="Calibri" w:hAnsi="Calibri" w:cs="Calibri"/>
        </w:rPr>
        <w:t>2.</w:t>
      </w:r>
      <w:r>
        <w:rPr>
          <w:rFonts w:hint="eastAsia" w:ascii="楷体" w:hAnsi="楷体" w:eastAsia="楷体" w:cs="楷体"/>
        </w:rPr>
        <w:t>本表中针对涉企经济影响采取的应对措施根据相关规定需要进行审批的，由审批人填写审批意见，其余事项由案件承办人填写。</w:t>
      </w: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hint="eastAsia" w:ascii="仿宋" w:hAnsi="仿宋" w:eastAsia="仿宋" w:cs="仿宋"/>
          <w:sz w:val="28"/>
          <w:szCs w:val="28"/>
        </w:rPr>
      </w:pPr>
    </w:p>
    <w:p>
      <w:pPr>
        <w:spacing w:after="0" w:line="700" w:lineRule="exact"/>
        <w:ind w:right="220" w:rightChars="100"/>
        <w:rPr>
          <w:rFonts w:ascii="仿宋" w:hAnsi="仿宋" w:eastAsia="仿宋" w:cs="仿宋"/>
          <w:sz w:val="28"/>
          <w:szCs w:val="28"/>
        </w:rPr>
      </w:pPr>
    </w:p>
    <w:p>
      <w:pPr>
        <w:spacing w:after="0" w:line="700" w:lineRule="exact"/>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473710</wp:posOffset>
                </wp:positionV>
                <wp:extent cx="5942330" cy="8890"/>
                <wp:effectExtent l="0" t="0" r="0" b="0"/>
                <wp:wrapNone/>
                <wp:docPr id="1" name="直线 3"/>
                <wp:cNvGraphicFramePr/>
                <a:graphic xmlns:a="http://schemas.openxmlformats.org/drawingml/2006/main">
                  <a:graphicData uri="http://schemas.microsoft.com/office/word/2010/wordprocessingShape">
                    <wps:wsp>
                      <wps:cNvSpPr/>
                      <wps:spPr>
                        <a:xfrm flipV="true">
                          <a:off x="0" y="0"/>
                          <a:ext cx="5942330" cy="889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flip:y;margin-left:0pt;margin-top:37.3pt;height:0.7pt;width:467.9pt;z-index:251660288;mso-width-relative:page;mso-height-relative:page;" filled="f" stroked="t" coordsize="21600,21600" o:gfxdata="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hryh/VAAAABgEAAA8AAAAAAAAAAQAgAAAAOAAAAGRycy9kb3ducmV2LnhtbFBLAQIUABQAAAAI&#10;AIdO4kBpDd+J2gEAAKADAAAOAAAAAAAAAAEAIAAAADoBAABkcnMvZTJvRG9jLnhtbFBLBQYAAAAA&#10;BgAGAFkBAACGBQAAAAA=&#10;">
                <v:fill on="f" focussize="0,0"/>
                <v:stroke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32170" cy="10160"/>
                <wp:effectExtent l="0" t="0" r="0" b="0"/>
                <wp:wrapNone/>
                <wp:docPr id="2" name="直线 43"/>
                <wp:cNvGraphicFramePr/>
                <a:graphic xmlns:a="http://schemas.openxmlformats.org/drawingml/2006/main">
                  <a:graphicData uri="http://schemas.microsoft.com/office/word/2010/wordprocessingShape">
                    <wps:wsp>
                      <wps:cNvSpPr/>
                      <wps:spPr>
                        <a:xfrm>
                          <a:off x="0" y="0"/>
                          <a:ext cx="5932170" cy="10160"/>
                        </a:xfrm>
                        <a:prstGeom prst="line">
                          <a:avLst/>
                        </a:prstGeom>
                        <a:ln w="10800" cap="flat" cmpd="sng">
                          <a:solidFill>
                            <a:srgbClr val="000000"/>
                          </a:solidFill>
                          <a:prstDash val="solid"/>
                          <a:headEnd type="none" w="med" len="med"/>
                          <a:tailEnd type="none" w="med" len="med"/>
                        </a:ln>
                      </wps:spPr>
                      <wps:bodyPr upright="true"/>
                    </wps:wsp>
                  </a:graphicData>
                </a:graphic>
              </wp:anchor>
            </w:drawing>
          </mc:Choice>
          <mc:Fallback>
            <w:pict>
              <v:line id="直线 43" o:spid="_x0000_s1026" o:spt="20" style="position:absolute;left:0pt;margin-left:0pt;margin-top:0pt;height:0.8pt;width:467.1pt;z-index:251661312;mso-width-relative:page;mso-height-relative:page;" filled="f" stroked="t" coordsize="21600,21600" o:gfxdata="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8AK3TAAAA&#10;AwEAAA8AAAAAAAAAAQAgAAAAOAAAAGRycy9kb3ducmV2LnhtbFBLAQIUABQAAAAIAIdO4kDnW9fh&#10;0wEAAJYDAAAOAAAAAAAAAAEAIAAAADgBAABkcnMvZTJvRG9jLnhtbFBLBQYAAAAABgAGAFkBAAB9&#10;BQAAAAA=&#10;">
                <v:fill on="f" focussize="0,0"/>
                <v:stroke weight="0.850393700787402pt" color="#000000" joinstyle="round"/>
                <v:imagedata o:title=""/>
                <o:lock v:ext="edit" aspectratio="f"/>
              </v:line>
            </w:pict>
          </mc:Fallback>
        </mc:AlternateContent>
      </w:r>
      <w:r>
        <w:rPr>
          <w:rFonts w:hint="eastAsia"/>
          <w:sz w:val="28"/>
          <w:szCs w:val="28"/>
        </w:rPr>
        <w:t xml:space="preserve"> </w:t>
      </w:r>
      <w:r>
        <w:rPr>
          <w:rFonts w:hint="eastAsia" w:ascii="仿宋" w:hAnsi="仿宋" w:eastAsia="仿宋" w:cs="仿宋"/>
          <w:sz w:val="32"/>
          <w:szCs w:val="32"/>
        </w:rPr>
        <w:t xml:space="preserve"> 南岔县人民法院办公室            2025年</w:t>
      </w:r>
      <w:r>
        <w:rPr>
          <w:rFonts w:hint="eastAsia" w:ascii="仿宋" w:hAnsi="仿宋" w:eastAsia="仿宋" w:cs="仿宋"/>
          <w:sz w:val="32"/>
          <w:szCs w:val="32"/>
          <w:lang w:val="en-US" w:eastAsia="zh-CN"/>
        </w:rPr>
        <w:t>9</w:t>
      </w:r>
      <w:r>
        <w:rPr>
          <w:rFonts w:hint="eastAsia" w:ascii="仿宋" w:hAnsi="仿宋" w:eastAsia="仿宋" w:cs="仿宋"/>
          <w:sz w:val="32"/>
          <w:szCs w:val="32"/>
        </w:rPr>
        <w:t>月2</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日印发  </w:t>
      </w:r>
      <w:r>
        <w:rPr>
          <w:rFonts w:hint="eastAsia"/>
        </w:rPr>
        <w:t xml:space="preserve">       </w:t>
      </w:r>
    </w:p>
    <w:p>
      <w:pPr>
        <w:spacing w:line="220" w:lineRule="atLeast"/>
      </w:pPr>
    </w:p>
    <w:sectPr>
      <w:footerReference r:id="rId5" w:type="default"/>
      <w:footerReference r:id="rId6" w:type="even"/>
      <w:pgSz w:w="11906" w:h="16838"/>
      <w:pgMar w:top="1276" w:right="1474" w:bottom="1843"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Segoe UI">
    <w:altName w:val="Noto Naskh Arabic"/>
    <w:panose1 w:val="020B0502040204020203"/>
    <w:charset w:val="00"/>
    <w:family w:val="swiss"/>
    <w:pitch w:val="default"/>
    <w:sig w:usb0="00000000" w:usb1="00000000"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Noto Naskh Arabic">
    <w:panose1 w:val="020B0502040504020204"/>
    <w:charset w:val="00"/>
    <w:family w:val="auto"/>
    <w:pitch w:val="default"/>
    <w:sig w:usb0="00002000" w:usb1="80000000" w:usb2="00000008" w:usb3="00000000" w:csb0="00000041" w:csb1="0008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16</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0E9"/>
    <w:multiLevelType w:val="singleLevel"/>
    <w:tmpl w:val="880820E9"/>
    <w:lvl w:ilvl="0" w:tentative="0">
      <w:start w:val="13"/>
      <w:numFmt w:val="chineseCounting"/>
      <w:suff w:val="space"/>
      <w:lvlText w:val="第%1条"/>
      <w:lvlJc w:val="left"/>
      <w:rPr>
        <w:rFonts w:hint="eastAsia" w:ascii="黑体" w:hAnsi="黑体" w:eastAsia="黑体"/>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YzA4MmY5ZjIzZjdjNmJlYmI5MmJhYTgxYjk0ZjkifQ=="/>
  </w:docVars>
  <w:rsids>
    <w:rsidRoot w:val="00D31D50"/>
    <w:rsid w:val="00025A3B"/>
    <w:rsid w:val="000F147B"/>
    <w:rsid w:val="00174E2F"/>
    <w:rsid w:val="001E70A9"/>
    <w:rsid w:val="00273470"/>
    <w:rsid w:val="00296DBD"/>
    <w:rsid w:val="002C0D16"/>
    <w:rsid w:val="00323B43"/>
    <w:rsid w:val="003D37D8"/>
    <w:rsid w:val="003E158D"/>
    <w:rsid w:val="00400DC4"/>
    <w:rsid w:val="00426133"/>
    <w:rsid w:val="004358AB"/>
    <w:rsid w:val="00557762"/>
    <w:rsid w:val="005879ED"/>
    <w:rsid w:val="00607541"/>
    <w:rsid w:val="0073654D"/>
    <w:rsid w:val="007B5E86"/>
    <w:rsid w:val="0082693D"/>
    <w:rsid w:val="00865B5F"/>
    <w:rsid w:val="008A0703"/>
    <w:rsid w:val="008A571D"/>
    <w:rsid w:val="008B7726"/>
    <w:rsid w:val="00916883"/>
    <w:rsid w:val="0091747C"/>
    <w:rsid w:val="009D772E"/>
    <w:rsid w:val="00A21009"/>
    <w:rsid w:val="00AD069D"/>
    <w:rsid w:val="00B05BBB"/>
    <w:rsid w:val="00CF5897"/>
    <w:rsid w:val="00D31D50"/>
    <w:rsid w:val="00D36C7B"/>
    <w:rsid w:val="00E74C66"/>
    <w:rsid w:val="4D1FE4E1"/>
    <w:rsid w:val="7487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3">
    <w:name w:val="footer"/>
    <w:basedOn w:val="1"/>
    <w:link w:val="10"/>
    <w:qFormat/>
    <w:uiPriority w:val="0"/>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4">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customStyle="1" w:styleId="9">
    <w:name w:val="正文文本 Char"/>
    <w:basedOn w:val="6"/>
    <w:link w:val="2"/>
    <w:qFormat/>
    <w:uiPriority w:val="99"/>
    <w:rPr>
      <w:rFonts w:ascii="Times New Roman" w:hAnsi="Times New Roman" w:eastAsia="宋体" w:cs="Times New Roman"/>
      <w:kern w:val="2"/>
      <w:sz w:val="21"/>
      <w:szCs w:val="24"/>
    </w:rPr>
  </w:style>
  <w:style w:type="character" w:customStyle="1" w:styleId="10">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5502</Words>
  <Characters>5570</Characters>
  <Lines>41</Lines>
  <Paragraphs>11</Paragraphs>
  <TotalTime>252</TotalTime>
  <ScaleCrop>false</ScaleCrop>
  <LinksUpToDate>false</LinksUpToDate>
  <CharactersWithSpaces>5630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thtf</cp:lastModifiedBy>
  <cp:lastPrinted>2025-09-24T14:48:00Z</cp:lastPrinted>
  <dcterms:modified xsi:type="dcterms:W3CDTF">2025-09-26T15:29:09Z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8FA2377114E34C6988249327557A37BC</vt:lpwstr>
  </property>
</Properties>
</file>