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4E" w:rsidRDefault="00C81886">
      <w:pPr>
        <w:spacing w:line="560" w:lineRule="exact"/>
        <w:jc w:val="right"/>
        <w:rPr>
          <w:rFonts w:eastAsia="楷体_GB2312"/>
        </w:rPr>
      </w:pPr>
      <w:r>
        <w:rPr>
          <w:rFonts w:eastAsia="楷体_GB2312"/>
        </w:rPr>
        <w:t xml:space="preserve">    </w:t>
      </w:r>
    </w:p>
    <w:p w:rsidR="009C1B4E" w:rsidRDefault="00C81886">
      <w:pPr>
        <w:spacing w:line="1100" w:lineRule="exact"/>
        <w:jc w:val="center"/>
        <w:rPr>
          <w:rFonts w:eastAsia="楷体_GB2312"/>
          <w:color w:val="E40000"/>
        </w:rPr>
      </w:pPr>
      <w:r>
        <w:rPr>
          <w:rFonts w:eastAsia="华文中宋" w:hint="eastAsia"/>
          <w:snapToGrid w:val="0"/>
          <w:color w:val="E40000"/>
          <w:spacing w:val="-40"/>
          <w:w w:val="80"/>
          <w:kern w:val="0"/>
          <w:sz w:val="108"/>
        </w:rPr>
        <w:t>南岔县</w:t>
      </w:r>
      <w:r>
        <w:rPr>
          <w:rFonts w:eastAsia="华文中宋"/>
          <w:snapToGrid w:val="0"/>
          <w:color w:val="E40000"/>
          <w:spacing w:val="-40"/>
          <w:w w:val="80"/>
          <w:kern w:val="0"/>
          <w:sz w:val="108"/>
        </w:rPr>
        <w:t>人民法院</w:t>
      </w:r>
    </w:p>
    <w:p w:rsidR="009C1B4E" w:rsidRDefault="009C1B4E">
      <w:pPr>
        <w:spacing w:line="560" w:lineRule="exact"/>
        <w:jc w:val="right"/>
        <w:rPr>
          <w:rFonts w:eastAsia="楷体_GB2312"/>
        </w:rPr>
      </w:pPr>
    </w:p>
    <w:p w:rsidR="009C1B4E" w:rsidRDefault="00C81886">
      <w:pPr>
        <w:widowControl/>
        <w:snapToGrid w:val="0"/>
        <w:spacing w:line="596" w:lineRule="exact"/>
        <w:jc w:val="center"/>
        <w:rPr>
          <w:rFonts w:eastAsia="楷体_GB2312"/>
        </w:rPr>
      </w:pPr>
      <w:bookmarkStart w:id="0" w:name="docMark"/>
      <w:r>
        <w:rPr>
          <w:rFonts w:ascii="仿宋" w:eastAsia="仿宋" w:hAnsi="仿宋" w:cs="仿宋_GB2312" w:hint="eastAsia"/>
          <w:spacing w:val="-11"/>
          <w:kern w:val="0"/>
          <w:sz w:val="32"/>
          <w:szCs w:val="32"/>
        </w:rPr>
        <w:t>南法优环办〔2025〕2号</w:t>
      </w:r>
      <w:bookmarkEnd w:id="0"/>
    </w:p>
    <w:p w:rsidR="009C1B4E" w:rsidRDefault="009C1DE9">
      <w:pPr>
        <w:spacing w:line="560" w:lineRule="exact"/>
        <w:jc w:val="right"/>
        <w:rPr>
          <w:rFonts w:eastAsia="楷体_GB2312"/>
        </w:rPr>
      </w:pPr>
      <w:r w:rsidRPr="009C1DE9">
        <w:rPr>
          <w:rFonts w:eastAsia="楷体_GB2312"/>
          <w:sz w:val="20"/>
        </w:rPr>
        <w:pict>
          <v:line id="_x0000_s1026" style="position:absolute;left:0;text-align:left;z-index:251659264" from="8.5pt,2pt" to="438.9pt,2pt" o:gfxdata="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lvbxtIAAAAGAQAADwAAAAAAAAABACAAAAAiAAAAZHJzL2Rvd25yZXYueG1sUEsB&#10;AhQAFAAAAAgAh07iQG30z+X7AQAA8wMAAA4AAAAAAAAAAQAgAAAAIQEAAGRycy9lMm9Eb2MueG1s&#10;UEsFBgAAAAAGAAYAWQEAAI4FAAAAAA==&#10;" strokecolor="red" strokeweight="4.5pt"/>
        </w:pict>
      </w:r>
    </w:p>
    <w:p w:rsidR="009C1B4E" w:rsidRPr="00AC612A" w:rsidRDefault="00C8188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C61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南岔县人民法院关于</w:t>
      </w:r>
    </w:p>
    <w:p w:rsidR="009C1B4E" w:rsidRPr="00AC612A" w:rsidRDefault="00C8188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C612A">
        <w:rPr>
          <w:rFonts w:ascii="方正小标宋简体" w:eastAsia="方正小标宋简体" w:hAnsi="方正小标宋简体" w:cs="方正小标宋简体" w:hint="eastAsia"/>
          <w:sz w:val="44"/>
          <w:szCs w:val="44"/>
        </w:rPr>
        <w:t>转发《伊春市中级人民法院、伊春市住房公积金管理中心关于印发&lt;关于做好住房公积金个人住房贷款购买法拍房业务的实施意见&gt;的通知》的通知</w:t>
      </w:r>
    </w:p>
    <w:p w:rsidR="009C1B4E" w:rsidRDefault="009C1B4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C1B4E" w:rsidRDefault="00C81886" w:rsidP="00B909EE">
      <w:pPr>
        <w:pStyle w:val="a7"/>
        <w:spacing w:after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各庭室、各部门：</w:t>
      </w:r>
    </w:p>
    <w:p w:rsidR="009C1B4E" w:rsidRDefault="00C81886" w:rsidP="00B909EE">
      <w:pPr>
        <w:tabs>
          <w:tab w:val="left" w:pos="5182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为进一步降低法拍房制度性交易成本，减轻购房人资金压力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提升住房公积金个人住房贷款购买法拍房业务规范性、便捷性，</w:t>
      </w:r>
      <w:r>
        <w:rPr>
          <w:rFonts w:ascii="仿宋_GB2312" w:eastAsia="仿宋_GB2312" w:hAnsi="仿宋_GB2312" w:cs="仿宋_GB2312" w:hint="eastAsia"/>
          <w:sz w:val="32"/>
          <w:szCs w:val="32"/>
        </w:rPr>
        <w:t>助推营商环境持续优化，现将《伊春市中级人民法院、伊春市住房公积金管理中心联合印发&lt;关于做好住房公积金个人住房贷款购买法拍房业务的实施意见&gt;的通知》（伊中法优环办〔2025〕34号）转发给你们，请你们结合实际认真贯彻执行。</w:t>
      </w:r>
    </w:p>
    <w:p w:rsidR="009C1B4E" w:rsidRDefault="009C1B4E">
      <w:pPr>
        <w:tabs>
          <w:tab w:val="left" w:pos="5182"/>
        </w:tabs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9C1B4E" w:rsidRDefault="00C81886">
      <w:pPr>
        <w:ind w:firstLineChars="1600" w:firstLine="512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南岔县人民法院</w:t>
      </w:r>
      <w:r>
        <w:rPr>
          <w:rFonts w:eastAsia="仿宋_GB2312" w:hint="eastAsia"/>
          <w:sz w:val="32"/>
          <w:szCs w:val="20"/>
        </w:rPr>
        <w:t xml:space="preserve">                                </w:t>
      </w:r>
    </w:p>
    <w:p w:rsidR="009C1B4E" w:rsidRDefault="00C81886" w:rsidP="00B909EE">
      <w:pPr>
        <w:adjustRightInd w:val="0"/>
        <w:snapToGrid w:val="0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20"/>
        </w:rPr>
        <w:t>20</w:t>
      </w:r>
      <w:r>
        <w:rPr>
          <w:rFonts w:eastAsia="仿宋_GB2312" w:hint="eastAsia"/>
          <w:sz w:val="32"/>
          <w:szCs w:val="20"/>
        </w:rPr>
        <w:t>25</w:t>
      </w:r>
      <w:r>
        <w:rPr>
          <w:rFonts w:eastAsia="仿宋_GB2312"/>
          <w:sz w:val="32"/>
          <w:szCs w:val="20"/>
        </w:rPr>
        <w:t>年</w:t>
      </w:r>
      <w:r>
        <w:rPr>
          <w:rFonts w:eastAsia="仿宋_GB2312" w:hint="eastAsia"/>
          <w:sz w:val="32"/>
          <w:szCs w:val="20"/>
        </w:rPr>
        <w:t>10</w:t>
      </w:r>
      <w:r>
        <w:rPr>
          <w:rFonts w:eastAsia="仿宋_GB2312"/>
          <w:sz w:val="32"/>
          <w:szCs w:val="20"/>
        </w:rPr>
        <w:t>月</w:t>
      </w:r>
      <w:r>
        <w:rPr>
          <w:rFonts w:eastAsia="仿宋_GB2312" w:hint="eastAsia"/>
          <w:sz w:val="32"/>
          <w:szCs w:val="20"/>
        </w:rPr>
        <w:t>9</w:t>
      </w:r>
      <w:r>
        <w:rPr>
          <w:rFonts w:eastAsia="仿宋_GB2312"/>
          <w:sz w:val="32"/>
          <w:szCs w:val="20"/>
        </w:rPr>
        <w:t>日</w:t>
      </w:r>
      <w:bookmarkStart w:id="1" w:name="_GoBack"/>
      <w:bookmarkEnd w:id="1"/>
    </w:p>
    <w:sectPr w:rsidR="009C1B4E" w:rsidSect="009C1B4E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02" w:rsidRDefault="004C6D02" w:rsidP="009C1B4E">
      <w:r>
        <w:separator/>
      </w:r>
    </w:p>
  </w:endnote>
  <w:endnote w:type="continuationSeparator" w:id="0">
    <w:p w:rsidR="004C6D02" w:rsidRDefault="004C6D02" w:rsidP="009C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1E257D8-8C23-4BAF-8314-845C606EEEB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F11EA51-EE43-433A-906B-B27C5DA1062F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  <w:embedRegular r:id="rId3" w:subsetted="1" w:fontKey="{C665DB4E-A6B2-49D4-9D4E-414637DF731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C5D8B6B-E325-470E-9227-8A8E728D425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1D43BC07-8DEB-4F50-920E-970A3AE0704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4E" w:rsidRDefault="009C1DE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C1B4E" w:rsidRDefault="00C81886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t xml:space="preserve">— </w:t>
                </w:r>
                <w:r w:rsidR="009C1DE9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 w:rsidR="009C1DE9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AC612A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1</w:t>
                </w:r>
                <w:r w:rsidR="009C1DE9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02" w:rsidRDefault="004C6D02" w:rsidP="009C1B4E">
      <w:r>
        <w:separator/>
      </w:r>
    </w:p>
  </w:footnote>
  <w:footnote w:type="continuationSeparator" w:id="0">
    <w:p w:rsidR="004C6D02" w:rsidRDefault="004C6D02" w:rsidP="009C1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9C1B4E"/>
    <w:rsid w:val="004C6D02"/>
    <w:rsid w:val="009C1B4E"/>
    <w:rsid w:val="009C1DE9"/>
    <w:rsid w:val="00AC612A"/>
    <w:rsid w:val="00B909EE"/>
    <w:rsid w:val="00C81886"/>
    <w:rsid w:val="062D2FA5"/>
    <w:rsid w:val="09B82281"/>
    <w:rsid w:val="09E13E32"/>
    <w:rsid w:val="0F590D1A"/>
    <w:rsid w:val="19193C38"/>
    <w:rsid w:val="29D551E1"/>
    <w:rsid w:val="2E3D36F6"/>
    <w:rsid w:val="39A978D2"/>
    <w:rsid w:val="40033FB0"/>
    <w:rsid w:val="514C3169"/>
    <w:rsid w:val="53194397"/>
    <w:rsid w:val="6D71632F"/>
    <w:rsid w:val="705410ED"/>
    <w:rsid w:val="73454E89"/>
    <w:rsid w:val="7E02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C1B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BodyText21"/>
    <w:qFormat/>
    <w:rsid w:val="009C1B4E"/>
    <w:pPr>
      <w:spacing w:after="120"/>
    </w:pPr>
  </w:style>
  <w:style w:type="paragraph" w:customStyle="1" w:styleId="BodyText21">
    <w:name w:val="Body Text 21"/>
    <w:basedOn w:val="a"/>
    <w:qFormat/>
    <w:rsid w:val="009C1B4E"/>
    <w:pPr>
      <w:spacing w:after="120" w:line="480" w:lineRule="auto"/>
    </w:pPr>
    <w:rPr>
      <w:rFonts w:ascii="Calibri" w:eastAsia="仿宋_GB2312" w:hAnsi="Calibri" w:cs="Times New Roman"/>
      <w:sz w:val="32"/>
      <w:szCs w:val="32"/>
    </w:rPr>
  </w:style>
  <w:style w:type="paragraph" w:styleId="a4">
    <w:name w:val="footer"/>
    <w:basedOn w:val="a"/>
    <w:qFormat/>
    <w:rsid w:val="009C1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C1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C1B4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0"/>
    <w:uiPriority w:val="99"/>
    <w:qFormat/>
    <w:rsid w:val="009C1B4E"/>
    <w:pPr>
      <w:spacing w:line="588" w:lineRule="exact"/>
      <w:ind w:firstLineChars="200" w:firstLine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2025-10-13T06:04:00Z</dcterms:created>
  <dcterms:modified xsi:type="dcterms:W3CDTF">2025-10-13T06:04:00Z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eyJoZGlkIjoiM2E3YzQwZTBhMzhiNzY1YmFiOWYwM2NiMjBkNmM2MDMifQ==</vt:lpwstr>
  </property>
  <property fmtid="{D5CDD505-2E9C-101B-9397-08002B2CF9AE}" pid="4" name="ICV">
    <vt:lpwstr>2325E40DC225465BB02D3F7717E65EED_13</vt:lpwstr>
  </property>
</Properties>
</file>